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e0ce0ec884bba5fd6426c6e4ff8da08279f036"/>
    <w:p>
      <w:pPr>
        <w:pStyle w:val="Heading2"/>
      </w:pPr>
      <w:r>
        <w:t xml:space="preserve">02 — Формула успеха, которую мы разучились применять</w:t>
      </w:r>
    </w:p>
    <w:p>
      <w:pPr>
        <w:pStyle w:val="FirstParagraph"/>
      </w:pPr>
      <w:r>
        <w:t xml:space="preserve">Прежде чем объяснить в этом выпуске принцип иерархии порядков, мне нужно сначала продемонстрировать кое-что, что нидерландского читателя, вероятно, не удивит — но что редко предстаёт перед ним в такой форме. Три страны, которые обогнали нас экономически, сделали это не вопреки дисциплине взвешенного Парето, Исикавы и метода причинно-следственного анализа. Они сделали это</w:t>
      </w:r>
      <w:r>
        <w:t xml:space="preserve"> </w:t>
      </w:r>
      <w:r>
        <w:rPr>
          <w:i/>
          <w:iCs/>
        </w:rPr>
        <w:t xml:space="preserve">благодаря</w:t>
      </w:r>
      <w:r>
        <w:t xml:space="preserve"> </w:t>
      </w:r>
      <w:r>
        <w:t xml:space="preserve">тому, что систематически эту дисциплину внедрили. Мы решили, что сможем без неё обойтись, — и именно этого и достигли: отстали экономически, утешая себя единственной наградой в виде чувства морального превосходства.</w:t>
      </w:r>
    </w:p>
    <w:p>
      <w:pPr>
        <w:pStyle w:val="BodyText"/>
      </w:pPr>
      <w:r>
        <w:t xml:space="preserve">Несколько цифр.</w:t>
      </w:r>
    </w:p>
    <w:bookmarkStart w:id="20" w:name="япония-между-1955-и-1973-годами"/>
    <w:p>
      <w:pPr>
        <w:pStyle w:val="Heading3"/>
      </w:pPr>
      <w:r>
        <w:t xml:space="preserve">Япония между 1955 и 1973 годами</w:t>
      </w:r>
    </w:p>
    <w:p>
      <w:pPr>
        <w:pStyle w:val="FirstParagraph"/>
      </w:pPr>
      <w:r>
        <w:t xml:space="preserve">В период с 1957 по 1973 год японский валовой национальный продукт рос в среднем чуть более чем на десять процентов в год. Между 1965 и 1980 годами номинальный ВНП вырос с 91 миллиарда долларов до более чем триллиона — двенадцатикратный рост за пятнадцать лет. Среднемесячное потребление городских домохозяйств удвоилось между 1955 и 1970 годами. Именно это экономисты стали называть</w:t>
      </w:r>
      <w:r>
        <w:t xml:space="preserve"> </w:t>
      </w:r>
      <w:r>
        <w:rPr>
          <w:i/>
          <w:iCs/>
        </w:rPr>
        <w:t xml:space="preserve">японским экономическим чудом</w:t>
      </w:r>
      <w:r>
        <w:t xml:space="preserve">. Цифры есть в любой экономической библиотеке.</w:t>
      </w:r>
    </w:p>
    <w:p>
      <w:pPr>
        <w:pStyle w:val="BodyText"/>
      </w:pPr>
      <w:r>
        <w:t xml:space="preserve">Но чудо чудом не было. Это был результат целенаправленного методологического выбора.</w:t>
      </w:r>
    </w:p>
    <w:p>
      <w:pPr>
        <w:pStyle w:val="BodyText"/>
      </w:pPr>
      <w:r>
        <w:t xml:space="preserve">В 1950 году японская промышленность страдала от репутационных потерь, унаследованных от военного прошлого и от качества своей продукции:</w:t>
      </w:r>
      <w:r>
        <w:t xml:space="preserve"> </w:t>
      </w:r>
      <w:r>
        <w:rPr>
          <w:i/>
          <w:iCs/>
        </w:rPr>
        <w:t xml:space="preserve">Made in Japan</w:t>
      </w:r>
      <w:r>
        <w:t xml:space="preserve"> </w:t>
      </w:r>
      <w:r>
        <w:t xml:space="preserve">было синонимом дешевизны и ненадёжности. В том же году Японский союз учёных и инженеров (JUSE) провёл серию лекций американского статистика У. Эдвардса Деминга — человека, которого годами не слышали в Соединённых Штатах. Американская промышленность считала, что не нуждается в дисциплине качества: ей казалось, что послевоенная прибыль создаёт достаточный попутный ветер. Япония думала иначе.</w:t>
      </w:r>
    </w:p>
    <w:p>
      <w:pPr>
        <w:pStyle w:val="BodyText"/>
      </w:pPr>
      <w:r>
        <w:t xml:space="preserve">Каору Исикава усвоил принципы Деминга, перевёл их в инструменты для заводского цеха и в 1968 году написал</w:t>
      </w:r>
      <w:r>
        <w:t xml:space="preserve"> </w:t>
      </w:r>
      <w:r>
        <w:rPr>
          <w:i/>
          <w:iCs/>
        </w:rPr>
        <w:t xml:space="preserve">Guide to Quality Control</w:t>
      </w:r>
      <w:r>
        <w:t xml:space="preserve">. Семь инструментов — диаграмма Парето, контрольная карта, гистограмма, диаграмма рассеяния, стратификация, контрольный лист и причинно-следственная диаграмма (диаграмма Исикавы) — стали обязательным арсеналом каждого японского производственного подразделения. Сотни тысяч</w:t>
      </w:r>
      <w:r>
        <w:t xml:space="preserve"> </w:t>
      </w:r>
      <w:r>
        <w:rPr>
          <w:i/>
          <w:iCs/>
        </w:rPr>
        <w:t xml:space="preserve">QC-circles</w:t>
      </w:r>
      <w:r>
        <w:t xml:space="preserve"> </w:t>
      </w:r>
      <w:r>
        <w:t xml:space="preserve">— кружков качества из числа рабочих — еженедельно применяли их непосредственно на своих рабочих местах. Toyota, Honda, Sony, Canon, Nikon и сотни менее известных компаний к 1975 году включили анализ Парето в рутину каждого производственного процесса.</w:t>
      </w:r>
    </w:p>
    <w:p>
      <w:pPr>
        <w:pStyle w:val="BodyText"/>
      </w:pPr>
      <w:r>
        <w:t xml:space="preserve">Результат был измерим. Между 1960 и 1980 годами Япония превратилась из послевоенной восстанавливающейся экономики во вторую экономическую державу мира.</w:t>
      </w:r>
    </w:p>
    <w:bookmarkEnd w:id="20"/>
    <w:bookmarkStart w:id="21" w:name="корея-между-1963-и-1997-годами"/>
    <w:p>
      <w:pPr>
        <w:pStyle w:val="Heading3"/>
      </w:pPr>
      <w:r>
        <w:t xml:space="preserve">Корея между 1963 и 1997 годами</w:t>
      </w:r>
    </w:p>
    <w:p>
      <w:pPr>
        <w:pStyle w:val="FirstParagraph"/>
      </w:pPr>
      <w:r>
        <w:t xml:space="preserve">Корея пошла другим путём, но с той же методологической основой. Валовой внутренний продукт на душу населения рос между 1963 и 1997 годами в среднем на семь процентов в год — три с половиной десятилетия подряд. Такого роста в таких масштабах история человечества до того времени не знала.</w:t>
      </w:r>
    </w:p>
    <w:p>
      <w:pPr>
        <w:pStyle w:val="BodyText"/>
      </w:pPr>
      <w:r>
        <w:rPr>
          <w:i/>
          <w:iCs/>
        </w:rPr>
        <w:t xml:space="preserve">Чэболи</w:t>
      </w:r>
      <w:r>
        <w:t xml:space="preserve"> </w:t>
      </w:r>
      <w:r>
        <w:t xml:space="preserve">— Samsung, Hyundai, LG, SK, Daewoo — переняли японскую модель кружков качества практически напрямую. В конце восьмидесятых у Samsung была собственная программа «Шесть сигм», выстроенная на инструментах Исикавы. Hyundai применял причинно-следственный анализ в своих сварочных цехах ещё до того, как вывез первый автомобиль на экспорт в Европу. В 1960 году экспорт Кореи составлял три процента ВВП; в 1981-м — тридцать семь. Между этими двумя цифрами — методологический переворот, который мы в Нидерландах не пережили.</w:t>
      </w:r>
    </w:p>
    <w:bookmarkEnd w:id="21"/>
    <w:bookmarkStart w:id="22" w:name="китай-после-1979-года"/>
    <w:p>
      <w:pPr>
        <w:pStyle w:val="Heading3"/>
      </w:pPr>
      <w:r>
        <w:t xml:space="preserve">Китай после 1979 года</w:t>
      </w:r>
    </w:p>
    <w:p>
      <w:pPr>
        <w:pStyle w:val="FirstParagraph"/>
      </w:pPr>
      <w:r>
        <w:t xml:space="preserve">Китай сделал этот шаг ещё резче. Между 1979 и 2008 годами четыре пятых роста производительности труда были обусловлены совершенствованием</w:t>
      </w:r>
      <w:r>
        <w:t xml:space="preserve"> </w:t>
      </w:r>
      <w:r>
        <w:rPr>
          <w:i/>
          <w:iCs/>
        </w:rPr>
        <w:t xml:space="preserve">Total Factor Productivity</w:t>
      </w:r>
      <w:r>
        <w:t xml:space="preserve"> </w:t>
      </w:r>
      <w:r>
        <w:t xml:space="preserve">— термина, которым экономисты обозначают то, что японцы называли</w:t>
      </w:r>
      <w:r>
        <w:t xml:space="preserve"> </w:t>
      </w:r>
      <w:r>
        <w:rPr>
          <w:i/>
          <w:iCs/>
        </w:rPr>
        <w:t xml:space="preserve">кайдзен</w:t>
      </w:r>
      <w:r>
        <w:t xml:space="preserve">, а корейцы переняли под названием</w:t>
      </w:r>
      <w:r>
        <w:t xml:space="preserve"> </w:t>
      </w:r>
      <w:r>
        <w:rPr>
          <w:i/>
          <w:iCs/>
        </w:rPr>
        <w:t xml:space="preserve">бисангиэон</w:t>
      </w:r>
      <w:r>
        <w:t xml:space="preserve">. По существу, это практика разложения каждого производительного действия до его компонентов по Парето и целенаправленного улучшения там, где сосредоточен наибольший эффект.</w:t>
      </w:r>
    </w:p>
    <w:p>
      <w:pPr>
        <w:pStyle w:val="BodyText"/>
      </w:pPr>
      <w:r>
        <w:t xml:space="preserve">Исследование Всемирного банка 2020 года констатирует: между 1979 и 2008 годами рост производительности обеспечил более восьмидесяти процентов прироста выпуска на одного работника. Восемьдесят процентов. Остальное — инвестиции, расширение занятости, экономия на масштабе — менее двадцати. Страна с миллиардом жителей вытащила себя из бедности за тридцать лет, и главным фактором оказался именно тот инструмент, который в нашем обществе был объявлен излишним.</w:t>
      </w:r>
    </w:p>
    <w:bookmarkEnd w:id="22"/>
    <w:bookmarkStart w:id="27" w:name="то-без-чего-мы-решили-обойтись"/>
    <w:p>
      <w:pPr>
        <w:pStyle w:val="Heading3"/>
      </w:pPr>
      <w:r>
        <w:t xml:space="preserve">То, без чего мы решили обойтись</w:t>
      </w:r>
    </w:p>
    <w:p>
      <w:pPr>
        <w:pStyle w:val="FirstParagraph"/>
      </w:pPr>
      <w:r>
        <w:t xml:space="preserve">В Нидерландах и в Европе с восьмидесятых годов прочно укоренилось убеждение: японский, корейский и китайский метод — это нечто для «фабрик», для материального производства. Для услуг, для государственного управления, для здравоохранения, для образования и для политики потребовался бы иной инструментарий — более мягкий, более диалогический, менее жёстко-числовой.</w:t>
      </w:r>
    </w:p>
    <w:p>
      <w:pPr>
        <w:pStyle w:val="BodyText"/>
      </w:pPr>
      <w:r>
        <w:t xml:space="preserve">Верно обратное. Именно в мягких секторах — там, где последствия наиболее весомы с человеческой и политической точки зрения, — отсутствие иерархической дисциплины сказывается всего болезненнее. «Дело о пособиях на детский сад» — хрестоматийный пример ведомства, которое никогда не исследовало производительность своих собственных процессов с помощью инструментов Исикавы. Азотная политика — хрестоматийный пример досье, к которому никогда не применяли анализ Парето. Здравоохранение, образование, жилищное строительство — все сектора, в которых нидерландское государство с 1990 года практически неуклонно достигает всё меньшего на каждый потраченный евро, и в которых ответом неизменно служат новые правила и усиленный контроль — вместо меньших, но более точечных вмешательств.</w:t>
      </w:r>
    </w:p>
    <w:p>
      <w:pPr>
        <w:pStyle w:val="BodyText"/>
      </w:pPr>
      <w:r>
        <w:t xml:space="preserve">Мы убеждены, что способны обойтись без взвешенного Парето. Реальные примеры — Япония, Корея, Китай, плюс собственные секторы, где метод всё же применяется, как нидерландское водное хозяйство и нефтехимия, — показывают ровно противоположное. Это не идеологическое суждение. Это измеримый факт, столь же неопровержимый, как балансная проверка стальной конструкции.</w:t>
      </w:r>
    </w:p>
    <w:p>
      <w:pPr>
        <w:pStyle w:val="BodyText"/>
      </w:pPr>
      <w:r>
        <w:t xml:space="preserve">В одном рисунке — вся диспропорция. Три страны, принявшие инструмент и за тридцать лет умножившие свою экономику; одна страна — наша — отвергшая его и с тех пор относительно деградировавшая по большинству показателей.</w:t>
      </w:r>
    </w:p>
    <w:p>
      <w:pPr>
        <w:pStyle w:val="BodyText"/>
      </w:pPr>
      <w:r>
        <w:t xml:space="preserve">Это первая причина, по которой существует всё остальное в этом выпуске. То, что я в следующих статьях демонстрирую на трёх делах, — не только нидерландская проблема. Это нидерландская проблема, в которую мы вошли с поднятой головой, тогда как три народа показали нам, что можно иначе, — и итог этого</w:t>
      </w:r>
      <w:r>
        <w:t xml:space="preserve"> </w:t>
      </w:r>
      <w:r>
        <w:rPr>
          <w:i/>
          <w:iCs/>
        </w:rPr>
        <w:t xml:space="preserve">иначе</w:t>
      </w:r>
      <w:r>
        <w:t xml:space="preserve"> </w:t>
      </w:r>
      <w:r>
        <w:t xml:space="preserve">поднял сотни миллионов людей из нищеты.</w:t>
      </w:r>
    </w:p>
    <w:p>
      <w:pPr>
        <w:pStyle w:val="BodyText"/>
      </w:pPr>
      <w:r>
        <w:rPr>
          <w:i/>
          <w:iCs/>
        </w:rPr>
        <w:t xml:space="preserve">Источники:</w:t>
      </w:r>
      <w:r>
        <w:rPr>
          <w:i/>
          <w:iCs/>
        </w:rPr>
        <w:t xml:space="preserve"> </w:t>
      </w:r>
      <w:hyperlink r:id="rId23">
        <w:r>
          <w:rPr>
            <w:rStyle w:val="Hyperlink"/>
            <w:i/>
            <w:iCs/>
          </w:rPr>
          <w:t xml:space="preserve">Wikipedia, Japanese economic miracle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4">
        <w:r>
          <w:rPr>
            <w:rStyle w:val="Hyperlink"/>
            <w:i/>
            <w:iCs/>
          </w:rPr>
          <w:t xml:space="preserve">Brookings, Japan and the Asian Economies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5">
        <w:r>
          <w:rPr>
            <w:rStyle w:val="Hyperlink"/>
            <w:i/>
            <w:iCs/>
          </w:rPr>
          <w:t xml:space="preserve">OUP Academic, Chaebols and firm dynamics in Korea</w:t>
        </w:r>
      </w:hyperlink>
      <w:r>
        <w:rPr>
          <w:i/>
          <w:iCs/>
        </w:rPr>
        <w:t xml:space="preserve">;</w:t>
      </w:r>
      <w:r>
        <w:rPr>
          <w:i/>
          <w:iCs/>
        </w:rPr>
        <w:t xml:space="preserve"> </w:t>
      </w:r>
      <w:hyperlink r:id="rId26">
        <w:r>
          <w:rPr>
            <w:rStyle w:val="Hyperlink"/>
            <w:i/>
            <w:iCs/>
          </w:rPr>
          <w:t xml:space="preserve">World Bank, China’s Productivity Slowdown and Future Growth Potential</w:t>
        </w:r>
      </w:hyperlink>
      <w:r>
        <w:rPr>
          <w:i/>
          <w:iCs/>
        </w:rPr>
        <w:t xml:space="preserve">; Каору Исикава,</w:t>
      </w:r>
      <w:r>
        <w:rPr>
          <w:i/>
          <w:iCs/>
        </w:rPr>
        <w:t xml:space="preserve"> </w:t>
      </w:r>
      <w:r>
        <w:t xml:space="preserve">Guide to Quality Control* (Asian Productivity Organization, 1968).*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academic.oup.com/economicpolicy/article/36/108/593/6350484" TargetMode="External" /><Relationship Type="http://schemas.openxmlformats.org/officeDocument/2006/relationships/hyperlink" Id="rId26" Target="https://documents1.worldbank.org/curated/en/839401593007627879/txt/Chinas-Productivity-Slowdown-and-Future-Growth-Potential.txt" TargetMode="External" /><Relationship Type="http://schemas.openxmlformats.org/officeDocument/2006/relationships/hyperlink" Id="rId23" Target="https://en.wikipedia.org/wiki/Japanese_economic_miracle" TargetMode="External" /><Relationship Type="http://schemas.openxmlformats.org/officeDocument/2006/relationships/hyperlink" Id="rId24" Target="https://www.brookings.edu/wp-content/uploads/1996/06/1996b_bpea_ito_weinstein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academic.oup.com/economicpolicy/article/36/108/593/6350484" TargetMode="External" /><Relationship Type="http://schemas.openxmlformats.org/officeDocument/2006/relationships/hyperlink" Id="rId26" Target="https://documents1.worldbank.org/curated/en/839401593007627879/txt/Chinas-Productivity-Slowdown-and-Future-Growth-Potential.txt" TargetMode="External" /><Relationship Type="http://schemas.openxmlformats.org/officeDocument/2006/relationships/hyperlink" Id="rId23" Target="https://en.wikipedia.org/wiki/Japanese_economic_miracle" TargetMode="External" /><Relationship Type="http://schemas.openxmlformats.org/officeDocument/2006/relationships/hyperlink" Id="rId24" Target="https://www.brookings.edu/wp-content/uploads/1996/06/1996b_bpea_ito_weinstein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2026-05-31T13:29:43Z</dcterms:created>
  <dcterms:modified xsi:type="dcterms:W3CDTF">2026-05-31T13:29:43Z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