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die-forderung-an-den-leser"/>
    <w:p>
      <w:pPr>
        <w:pStyle w:val="Heading2"/>
      </w:pPr>
      <w:r>
        <w:t xml:space="preserve">08 — Die Forderung an den Leser</w:t>
      </w:r>
    </w:p>
    <w:p>
      <w:pPr>
        <w:pStyle w:val="FirstParagraph"/>
      </w:pPr>
      <w:r>
        <w:t xml:space="preserve">Am Ende dieser Zeitung liegt das Instrument auf dem Tisch. Sie haben drei Dossiers gesehen, in denen Presse und Politik die zweite und dritte Ordnung zur ersten erheben. Sie haben drei Menschen gesehen, die in einer verkehrten Welt dennoch den Kompass behielten. Sie haben vier Diagramme gesehen, die auf einen Blick zeigen, was ein Text in zwanzig Minuten erklären muss.</w:t>
      </w:r>
    </w:p>
    <w:p>
      <w:pPr>
        <w:pStyle w:val="BodyText"/>
      </w:pPr>
      <w:r>
        <w:t xml:space="preserve">Ich verlange nichts von Ihnen. Keine Mitgliedschaft, keine Spende, keine Petition, keine Demonstration.</w:t>
      </w:r>
      <w:r>
        <w:t xml:space="preserve"> </w:t>
      </w:r>
      <w:r>
        <w:rPr>
          <w:i/>
          <w:iCs/>
        </w:rPr>
        <w:t xml:space="preserve">Het Open Vizier</w:t>
      </w:r>
      <w:r>
        <w:t xml:space="preserve"> </w:t>
      </w:r>
      <w:r>
        <w:t xml:space="preserve">ist kostenlos und bleibt es. Was ich von Ihnen verlange, ist etwas, das nur Sie tun können.</w:t>
      </w:r>
    </w:p>
    <w:p>
      <w:pPr>
        <w:pStyle w:val="BodyText"/>
      </w:pPr>
      <w:r>
        <w:t xml:space="preserve">Lesen Sie morgen die Zeitung mit diesem Instrument in der Hand. Schreiben Sie in den Rand, welche Ordnung für welche verkauft wird. Tun Sie das bei jedem Artikel, in dem Zahlen stehen, bei jedem Artikel, in dem ein Akteur benannt wird, bei jedem Artikel, in dem eine Schlussfolgerung gezogen wird. Fragen Sie sich: Wurde der Hauptfaktor genannt? Ist der Beitrag dieses Akteurs wirklich Erste Ordnung, oder wurde er durch Framing in die Erste Ordnung erhoben? Welche Faktoren fehlen, die physikalisch oder statistisch höher stehen müssten?</w:t>
      </w:r>
    </w:p>
    <w:p>
      <w:pPr>
        <w:pStyle w:val="BodyText"/>
      </w:pPr>
      <w:r>
        <w:t xml:space="preserve">Tun Sie das eine Woche lang. Vielleicht zwei Wochen. Danach hat sich Ihr Verhältnis zu Ihrer Zeitung verändert. Sie sind kein Konsument mehr; Sie sind ein Leser geworden. Ein Leser, der Rangordnung erkennt.</w:t>
      </w:r>
    </w:p>
    <w:p>
      <w:pPr>
        <w:pStyle w:val="BodyText"/>
      </w:pPr>
      <w:r>
        <w:t xml:space="preserve">Das ist es, was eine Papierindustrie am wenigsten verträgt. Nicht Protest, nicht empörte Briefe, nicht Petitionen. Ein Leser, der rechnet. Ein Leser, der das Ordnungsinstinkt wiedergefunden hat, das unsere Großeltern besaßen und das wir weggeworfen haben.</w:t>
      </w:r>
    </w:p>
    <w:p>
      <w:pPr>
        <w:pStyle w:val="BodyText"/>
      </w:pPr>
      <w:r>
        <w:t xml:space="preserve">Sie sind dieses Instrument. Ich habe es Ihnen nur gereicht.</w:t>
      </w:r>
    </w:p>
    <w:p>
      <w:pPr>
        <w:pStyle w:val="BodyText"/>
      </w:pPr>
      <w:r>
        <w:rPr>
          <w:i/>
          <w:iCs/>
        </w:rPr>
        <w:t xml:space="preserve">Jacobus van Merksteijn</w:t>
      </w:r>
      <w:r>
        <w:t xml:space="preserve"> </w:t>
      </w:r>
      <w:r>
        <w:rPr>
          <w:i/>
          <w:iCs/>
        </w:rPr>
        <w:t xml:space="preserve">Calvià, Juli 2026</w:t>
      </w:r>
    </w:p>
    <w:p>
      <w:r>
        <w:pict>
          <v:rect style="width:0;height:1.5pt" o:hralign="center" o:hrstd="t" o:hr="t"/>
        </w:pict>
      </w:r>
    </w:p>
    <w:bookmarkEnd w:id="20"/>
    <w:bookmarkStart w:id="21" w:name="quellen"/>
    <w:p>
      <w:pPr>
        <w:pStyle w:val="Heading2"/>
      </w:pPr>
      <w:r>
        <w:t xml:space="preserve">Quellen</w:t>
      </w:r>
    </w:p>
    <w:p>
      <w:pPr>
        <w:pStyle w:val="FirstParagraph"/>
      </w:pPr>
      <w:r>
        <w:rPr>
          <w:b/>
          <w:bCs/>
        </w:rPr>
        <w:t xml:space="preserve">Ausgabe 5 steht auf den Schultern anderer.</w:t>
      </w:r>
      <w:r>
        <w:t xml:space="preserve"> </w:t>
      </w:r>
      <w:r>
        <w:t xml:space="preserve">Die folgenden Veröffentlichungen wurden für die Zahlen und Überlegungen in dieser Ausgabe herangezogen:</w:t>
      </w:r>
    </w:p>
    <w:p>
      <w:pPr>
        <w:pStyle w:val="Compact"/>
        <w:numPr>
          <w:ilvl w:val="0"/>
          <w:numId w:val="1001"/>
        </w:numPr>
      </w:pPr>
      <w:r>
        <w:t xml:space="preserve">IPCC AR6, Global Warming Potential-Tabellen (2021–2024), insbesondere der Unterschied zwischen</w:t>
      </w:r>
      <w:r>
        <w:t xml:space="preserve"> </w:t>
      </w:r>
      <w:r>
        <w:rPr>
          <w:i/>
          <w:iCs/>
        </w:rPr>
        <w:t xml:space="preserve">fossil methane</w:t>
      </w:r>
      <w:r>
        <w:t xml:space="preserve"> </w:t>
      </w:r>
      <w:r>
        <w:t xml:space="preserve">und</w:t>
      </w:r>
      <w:r>
        <w:t xml:space="preserve"> </w:t>
      </w:r>
      <w:r>
        <w:rPr>
          <w:i/>
          <w:iCs/>
        </w:rPr>
        <w:t xml:space="preserve">non-fossil methane</w:t>
      </w:r>
      <w:r>
        <w:t xml:space="preserve">.</w:t>
      </w:r>
    </w:p>
    <w:p>
      <w:pPr>
        <w:pStyle w:val="Compact"/>
        <w:numPr>
          <w:ilvl w:val="0"/>
          <w:numId w:val="1001"/>
        </w:numPr>
      </w:pPr>
      <w:r>
        <w:t xml:space="preserve">TNO-Schnellanalyse Methanemissionen Niederlande, veröffentlicht von SodM/EZK am 26. Mai 2026.</w:t>
      </w:r>
    </w:p>
    <w:p>
      <w:pPr>
        <w:pStyle w:val="Compact"/>
        <w:numPr>
          <w:ilvl w:val="0"/>
          <w:numId w:val="1001"/>
        </w:numPr>
      </w:pPr>
      <w:r>
        <w:t xml:space="preserve">Bette de Koning und Eva Rooijers, „Methaanregels beloven enorme klimaatwinst, maar bedreigen volgens gasbedrijven de Nederlandse gaswinning”,</w:t>
      </w:r>
      <w:r>
        <w:t xml:space="preserve"> </w:t>
      </w:r>
      <w:r>
        <w:rPr>
          <w:i/>
          <w:iCs/>
        </w:rPr>
        <w:t xml:space="preserve">Het Financieele Dagblad</w:t>
      </w:r>
      <w:r>
        <w:t xml:space="preserve">, 23. Mai 2026.</w:t>
      </w:r>
    </w:p>
    <w:p>
      <w:pPr>
        <w:pStyle w:val="Compact"/>
        <w:numPr>
          <w:ilvl w:val="0"/>
          <w:numId w:val="1001"/>
        </w:numPr>
      </w:pPr>
      <w:r>
        <w:rPr>
          <w:i/>
          <w:iCs/>
        </w:rPr>
        <w:t xml:space="preserve">Het Financieele Dagblad</w:t>
      </w:r>
      <w:r>
        <w:t xml:space="preserve">, „Verenigde Staten waarschuwen Europa over methaanregels”, 20. Mai 2026.</w:t>
      </w:r>
    </w:p>
    <w:p>
      <w:pPr>
        <w:pStyle w:val="Compact"/>
        <w:numPr>
          <w:ilvl w:val="0"/>
          <w:numId w:val="1001"/>
        </w:numPr>
      </w:pPr>
      <w:r>
        <w:t xml:space="preserve">Europäische Kommission, „Commission future-proofs Natura 2000 against climate change”, Leitfaden vom 25. März 2026.</w:t>
      </w:r>
    </w:p>
    <w:p>
      <w:pPr>
        <w:pStyle w:val="Compact"/>
        <w:numPr>
          <w:ilvl w:val="0"/>
          <w:numId w:val="1001"/>
        </w:numPr>
      </w:pPr>
      <w:r>
        <w:t xml:space="preserve">STOWA, Deltafact</w:t>
      </w:r>
      <w:r>
        <w:t xml:space="preserve"> </w:t>
      </w:r>
      <w:r>
        <w:rPr>
          <w:i/>
          <w:iCs/>
        </w:rPr>
        <w:t xml:space="preserve">Effecten klimaatverandering op terrestrische natuur</w:t>
      </w:r>
      <w:r>
        <w:t xml:space="preserve">.</w:t>
      </w:r>
    </w:p>
    <w:p>
      <w:pPr>
        <w:pStyle w:val="Compact"/>
        <w:numPr>
          <w:ilvl w:val="0"/>
          <w:numId w:val="1001"/>
        </w:numPr>
      </w:pPr>
      <w:r>
        <w:t xml:space="preserve">OBN,</w:t>
      </w:r>
      <w:r>
        <w:t xml:space="preserve"> </w:t>
      </w:r>
      <w:r>
        <w:rPr>
          <w:i/>
          <w:iCs/>
        </w:rPr>
        <w:t xml:space="preserve">Droogte ingrijpend voor natuur in hoog Nederland</w:t>
      </w:r>
      <w:r>
        <w:t xml:space="preserve"> </w:t>
      </w:r>
      <w:r>
        <w:t xml:space="preserve">(2021).</w:t>
      </w:r>
    </w:p>
    <w:p>
      <w:pPr>
        <w:pStyle w:val="Compact"/>
        <w:numPr>
          <w:ilvl w:val="0"/>
          <w:numId w:val="1001"/>
        </w:numPr>
      </w:pPr>
      <w:r>
        <w:t xml:space="preserve">Natura 2000 Herstelstrategieën, Intermezzo I.</w:t>
      </w:r>
    </w:p>
    <w:p>
      <w:pPr>
        <w:pStyle w:val="Compact"/>
        <w:numPr>
          <w:ilvl w:val="0"/>
          <w:numId w:val="1001"/>
        </w:numPr>
      </w:pPr>
      <w:r>
        <w:t xml:space="preserve">Raad van State (Staatsrat), Urteil vom 29. Mai 2019, ECLI:NL:RVS:2019:1603, betreffend das Programma Aanpak Stikstof (Niederländisches Stickstoff-Programm).</w:t>
      </w:r>
    </w:p>
    <w:p>
      <w:pPr>
        <w:pStyle w:val="Compact"/>
        <w:numPr>
          <w:ilvl w:val="0"/>
          <w:numId w:val="1001"/>
        </w:numPr>
      </w:pPr>
      <w:r>
        <w:t xml:space="preserve">Kaoru Ishikawa,</w:t>
      </w:r>
      <w:r>
        <w:t xml:space="preserve"> </w:t>
      </w:r>
      <w:r>
        <w:rPr>
          <w:i/>
          <w:iCs/>
        </w:rPr>
        <w:t xml:space="preserve">Guide to Quality Control</w:t>
      </w:r>
      <w:r>
        <w:t xml:space="preserve"> </w:t>
      </w:r>
      <w:r>
        <w:t xml:space="preserve">(Asian Productivity Organization, 1968).</w:t>
      </w:r>
    </w:p>
    <w:p>
      <w:pPr>
        <w:pStyle w:val="Compact"/>
        <w:numPr>
          <w:ilvl w:val="0"/>
          <w:numId w:val="1001"/>
        </w:numPr>
      </w:pPr>
      <w:r>
        <w:t xml:space="preserve">Joseph M. Juran,</w:t>
      </w:r>
      <w:r>
        <w:t xml:space="preserve"> </w:t>
      </w:r>
      <w:r>
        <w:rPr>
          <w:i/>
          <w:iCs/>
        </w:rPr>
        <w:t xml:space="preserve">Quality Control Handbook</w:t>
      </w:r>
      <w:r>
        <w:t xml:space="preserve"> </w:t>
      </w:r>
      <w:r>
        <w:t xml:space="preserve">(McGraw-Hill, 1951 und spätere Auflagen), für das Pareto-Prinzip in der Qualitätssicherung.</w:t>
      </w:r>
    </w:p>
    <w:p>
      <w:pPr>
        <w:pStyle w:val="FirstParagraph"/>
      </w:pPr>
      <w:r>
        <w:t xml:space="preserve">Für die Portraits in Artikel 04 sind die zugrunde liegenden journalistischen Quellen jeweils am Ende des betreffenden Portraits gesondert ausgewiesen.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2026-05-31T13:29:35Z</dcterms:created>
  <dcterms:modified xsi:type="dcterms:W3CDTF">2026-05-31T13:29:35Z</dcterms:modified>
</cp:coreProperties>
</file>

<file path=docProps/custom.xml><?xml version="1.0" encoding="utf-8"?>
<Properties xmlns="http://schemas.openxmlformats.org/officeDocument/2006/custom-properties" xmlns:vt="http://schemas.openxmlformats.org/officeDocument/2006/docPropsVTypes"/>
</file>