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требование-к-читателю"/>
    <w:p>
      <w:pPr>
        <w:pStyle w:val="Heading2"/>
      </w:pPr>
      <w:r>
        <w:t xml:space="preserve">08 — Требование к читателю</w:t>
      </w:r>
    </w:p>
    <w:p>
      <w:pPr>
        <w:pStyle w:val="FirstParagraph"/>
      </w:pPr>
      <w:r>
        <w:t xml:space="preserve">В конце этой газеты инструмент лежит на столе. Вы увидели три дела, в которых пресса и политика возводят второй и третий порядок до первого. Вы увидели трёх людей, которые в перевёрнутом мире всё же сохранили компас. Вы увидели четыре диаграммы, передающие в одном взгляде то, что текст объясняет за двадцать минут.</w:t>
      </w:r>
    </w:p>
    <w:p>
      <w:pPr>
        <w:pStyle w:val="BodyText"/>
      </w:pPr>
      <w:r>
        <w:t xml:space="preserve">Я ничего у вас не прошу. Ни членства, ни пожертвования, ни петиции, ни демонстрации.</w:t>
      </w:r>
      <w:r>
        <w:t xml:space="preserve"> </w:t>
      </w:r>
      <w:r>
        <w:rPr>
          <w:i/>
          <w:iCs/>
        </w:rPr>
        <w:t xml:space="preserve">Het Open Vizier</w:t>
      </w:r>
      <w:r>
        <w:t xml:space="preserve"> </w:t>
      </w:r>
      <w:r>
        <w:t xml:space="preserve">распространяется бесплатно и останется таким. То, о чём я вас прошу, — это то, что можете сделать только вы.</w:t>
      </w:r>
    </w:p>
    <w:p>
      <w:pPr>
        <w:pStyle w:val="BodyText"/>
      </w:pPr>
      <w:r>
        <w:t xml:space="preserve">Прочитайте завтра газету с этим инструментом в руках. Пишите на полях, какой порядок продаётся вместо какого. Делайте это при каждой статье, в которой есть цифры, при каждой статье, в которой назван виновный, при каждой статье, в которой делается вывод. Спрашивайте себя: назван ли главный фактор? Действительно ли вклад этого актора первого порядка — или он возведён во первый порядок с помощью фрейминга? Каких факторов не хватает, которые с точки зрения физики или статистики должны стоять выше?</w:t>
      </w:r>
    </w:p>
    <w:p>
      <w:pPr>
        <w:pStyle w:val="BodyText"/>
      </w:pPr>
      <w:r>
        <w:t xml:space="preserve">Делайте это неделю. Может быть, две. После этого ваши отношения с вашей газетой изменятся. Вы больше не потребитель; вы стали читателем. Читателем, который распознаёт иерархию порядков.</w:t>
      </w:r>
    </w:p>
    <w:p>
      <w:pPr>
        <w:pStyle w:val="BodyText"/>
      </w:pPr>
      <w:r>
        <w:t xml:space="preserve">Это то, что меньше всего может вынести бумажная индустрия. Не протест, не сердитые письма, не петиции. Читатель, который считает. Читатель, который вернул себе иерархический инстинкт, которым обладали наши дедушки и бабушки и который мы выбросили.</w:t>
      </w:r>
    </w:p>
    <w:p>
      <w:pPr>
        <w:pStyle w:val="BodyText"/>
      </w:pPr>
      <w:r>
        <w:t xml:space="preserve">Вы и есть этот инструмент. Я лишь вложил его вам в руки.</w:t>
      </w:r>
    </w:p>
    <w:p>
      <w:pPr>
        <w:pStyle w:val="BodyText"/>
      </w:pPr>
      <w:r>
        <w:rPr>
          <w:i/>
          <w:iCs/>
        </w:rPr>
        <w:t xml:space="preserve">Якобус ван Меркстейн (Jacobus van Merksteijn)</w:t>
      </w:r>
      <w:r>
        <w:t xml:space="preserve"> </w:t>
      </w:r>
      <w:r>
        <w:rPr>
          <w:i/>
          <w:iCs/>
        </w:rPr>
        <w:t xml:space="preserve">Кальвия (Испания), июль 2026 года</w:t>
      </w:r>
    </w:p>
    <w:p>
      <w:r>
        <w:pict>
          <v:rect style="width:0;height:1.5pt" o:hralign="center" o:hrstd="t" o:hr="t"/>
        </w:pict>
      </w:r>
    </w:p>
    <w:bookmarkEnd w:id="20"/>
    <w:bookmarkStart w:id="21" w:name="источники"/>
    <w:p>
      <w:pPr>
        <w:pStyle w:val="Heading2"/>
      </w:pPr>
      <w:r>
        <w:t xml:space="preserve">Источники</w:t>
      </w:r>
    </w:p>
    <w:p>
      <w:pPr>
        <w:pStyle w:val="FirstParagraph"/>
      </w:pPr>
      <w:r>
        <w:rPr>
          <w:b/>
          <w:bCs/>
        </w:rPr>
        <w:t xml:space="preserve">Выпуск 5 стоит на плечах других.</w:t>
      </w:r>
      <w:r>
        <w:t xml:space="preserve"> </w:t>
      </w:r>
      <w:r>
        <w:t xml:space="preserve">При работе над цифрами и рассуждениями в этом выпуске были использованы следующие публикации:</w:t>
      </w:r>
    </w:p>
    <w:p>
      <w:pPr>
        <w:pStyle w:val="Compact"/>
        <w:numPr>
          <w:ilvl w:val="0"/>
          <w:numId w:val="1001"/>
        </w:numPr>
      </w:pPr>
      <w:r>
        <w:t xml:space="preserve">IPCC AR6, таблицы потенциала глобального потепления (2021–2024), в особенности разграничение между</w:t>
      </w:r>
      <w:r>
        <w:t xml:space="preserve"> </w:t>
      </w:r>
      <w:r>
        <w:rPr>
          <w:i/>
          <w:iCs/>
        </w:rPr>
        <w:t xml:space="preserve">fossil</w:t>
      </w:r>
      <w:r>
        <w:t xml:space="preserve"> </w:t>
      </w:r>
      <w:r>
        <w:t xml:space="preserve">и</w:t>
      </w:r>
      <w:r>
        <w:t xml:space="preserve"> </w:t>
      </w:r>
      <w:r>
        <w:rPr>
          <w:i/>
          <w:iCs/>
        </w:rPr>
        <w:t xml:space="preserve">non-fossil</w:t>
      </w:r>
      <w:r>
        <w:t xml:space="preserve"> </w:t>
      </w:r>
      <w:r>
        <w:t xml:space="preserve">methane (ископаемым и неископаемым метаном).</w:t>
      </w:r>
    </w:p>
    <w:p>
      <w:pPr>
        <w:pStyle w:val="Compact"/>
        <w:numPr>
          <w:ilvl w:val="0"/>
          <w:numId w:val="1001"/>
        </w:numPr>
      </w:pPr>
      <w:r>
        <w:t xml:space="preserve">Экспресс-анализ TNO по выбросам метана в Нидерландах, опубликованный SodM/EZK 26 мая 2026 года.</w:t>
      </w:r>
    </w:p>
    <w:p>
      <w:pPr>
        <w:pStyle w:val="Compact"/>
        <w:numPr>
          <w:ilvl w:val="0"/>
          <w:numId w:val="1001"/>
        </w:numPr>
      </w:pPr>
      <w:r>
        <w:t xml:space="preserve">Бетте де Конинг и Ева Рёйерс, «Methaanregels beloven enorme klimaatwinst, maar bedreigen volgens gasbedrijven de Nederlandse gaswinning» [Правила по метану обещают огромную климатическую выгоду, но, по мнению газовых компаний, угрожают нидерландской газодобыче],</w:t>
      </w:r>
      <w:r>
        <w:t xml:space="preserve"> </w:t>
      </w:r>
      <w:r>
        <w:rPr>
          <w:i/>
          <w:iCs/>
        </w:rPr>
        <w:t xml:space="preserve">Het Financieele Dagblad</w:t>
      </w:r>
      <w:r>
        <w:t xml:space="preserve">, 23 мая 2026 года.</w:t>
      </w:r>
    </w:p>
    <w:p>
      <w:pPr>
        <w:pStyle w:val="Compact"/>
        <w:numPr>
          <w:ilvl w:val="0"/>
          <w:numId w:val="1001"/>
        </w:numPr>
      </w:pPr>
      <w:r>
        <w:rPr>
          <w:i/>
          <w:iCs/>
        </w:rPr>
        <w:t xml:space="preserve">Het Financieele Dagblad</w:t>
      </w:r>
      <w:r>
        <w:t xml:space="preserve">, «Verenigde Staten waarschuwen Europa over methaanregels» [Соединённые Штаты предупреждают Европу о правилах регулирования метана], 20 мая 2026 года.</w:t>
      </w:r>
    </w:p>
    <w:p>
      <w:pPr>
        <w:pStyle w:val="Compact"/>
        <w:numPr>
          <w:ilvl w:val="0"/>
          <w:numId w:val="1001"/>
        </w:numPr>
      </w:pPr>
      <w:r>
        <w:t xml:space="preserve">Европейская комиссия, «Commission future-proofs Natura 2000 against climate change» [Комиссия готовит Natura 2000 к вызовам климатических изменений], руководство от 25 марта 2026 года.</w:t>
      </w:r>
    </w:p>
    <w:p>
      <w:pPr>
        <w:pStyle w:val="Compact"/>
        <w:numPr>
          <w:ilvl w:val="0"/>
          <w:numId w:val="1001"/>
        </w:numPr>
      </w:pPr>
      <w:r>
        <w:t xml:space="preserve">STOWA, тематический обзор</w:t>
      </w:r>
      <w:r>
        <w:t xml:space="preserve"> </w:t>
      </w:r>
      <w:r>
        <w:rPr>
          <w:i/>
          <w:iCs/>
        </w:rPr>
        <w:t xml:space="preserve">Effecten klimaatverandering op terrestrische natuur</w:t>
      </w:r>
      <w:r>
        <w:t xml:space="preserve"> </w:t>
      </w:r>
      <w:r>
        <w:t xml:space="preserve">[Последствия изменения климата для наземной природы].</w:t>
      </w:r>
    </w:p>
    <w:p>
      <w:pPr>
        <w:pStyle w:val="Compact"/>
        <w:numPr>
          <w:ilvl w:val="0"/>
          <w:numId w:val="1001"/>
        </w:numPr>
      </w:pPr>
      <w:r>
        <w:t xml:space="preserve">OBN,</w:t>
      </w:r>
      <w:r>
        <w:t xml:space="preserve"> </w:t>
      </w:r>
      <w:r>
        <w:rPr>
          <w:i/>
          <w:iCs/>
        </w:rPr>
        <w:t xml:space="preserve">Droogte ingrijpend voor natuur in hoog Nederland</w:t>
      </w:r>
      <w:r>
        <w:t xml:space="preserve"> </w:t>
      </w:r>
      <w:r>
        <w:t xml:space="preserve">[Засуха — серьёзная угроза для природы возвышенных районов Нидерландов] (2021).</w:t>
      </w:r>
    </w:p>
    <w:p>
      <w:pPr>
        <w:pStyle w:val="Compact"/>
        <w:numPr>
          <w:ilvl w:val="0"/>
          <w:numId w:val="1001"/>
        </w:numPr>
      </w:pPr>
      <w:r>
        <w:t xml:space="preserve">Natura 2000 Herstelstrategieën, Intermezzo I [Стратегии восстановления Natura 2000, вставка I].</w:t>
      </w:r>
    </w:p>
    <w:p>
      <w:pPr>
        <w:pStyle w:val="Compact"/>
        <w:numPr>
          <w:ilvl w:val="0"/>
          <w:numId w:val="1001"/>
        </w:numPr>
      </w:pPr>
      <w:r>
        <w:t xml:space="preserve">Государственный совет Нидерландов (Raad van State), решение от 29 мая 2019 года, ECLI:NL:RVS:2019:1603, по делу о «Программе регулирования азота» (Programma Aanpak Stikstof).</w:t>
      </w:r>
    </w:p>
    <w:p>
      <w:pPr>
        <w:pStyle w:val="Compact"/>
        <w:numPr>
          <w:ilvl w:val="0"/>
          <w:numId w:val="1001"/>
        </w:numPr>
      </w:pPr>
      <w:r>
        <w:t xml:space="preserve">Каору Исикава,</w:t>
      </w:r>
      <w:r>
        <w:t xml:space="preserve"> </w:t>
      </w:r>
      <w:r>
        <w:rPr>
          <w:i/>
          <w:iCs/>
        </w:rPr>
        <w:t xml:space="preserve">Guide to Quality Control</w:t>
      </w:r>
      <w:r>
        <w:t xml:space="preserve"> </w:t>
      </w:r>
      <w:r>
        <w:t xml:space="preserve">(Asian Productivity Organization, 1968).</w:t>
      </w:r>
    </w:p>
    <w:p>
      <w:pPr>
        <w:pStyle w:val="Compact"/>
        <w:numPr>
          <w:ilvl w:val="0"/>
          <w:numId w:val="1001"/>
        </w:numPr>
      </w:pPr>
      <w:r>
        <w:t xml:space="preserve">Джозеф М. Джуран,</w:t>
      </w:r>
      <w:r>
        <w:t xml:space="preserve"> </w:t>
      </w:r>
      <w:r>
        <w:rPr>
          <w:i/>
          <w:iCs/>
        </w:rPr>
        <w:t xml:space="preserve">Quality Control Handbook</w:t>
      </w:r>
      <w:r>
        <w:t xml:space="preserve"> </w:t>
      </w:r>
      <w:r>
        <w:t xml:space="preserve">(McGraw-Hill, 1951 и последующие издания) — принцип Парето в управлении качеством.</w:t>
      </w:r>
    </w:p>
    <w:p>
      <w:pPr>
        <w:pStyle w:val="FirstParagraph"/>
      </w:pPr>
      <w:r>
        <w:t xml:space="preserve">По портретам в статье 04 первичные журналистские источники приведены отдельно в конце каждого портрета.</w:t>
      </w:r>
    </w:p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2026-05-31T13:29:47Z</dcterms:created>
  <dcterms:modified xsi:type="dcterms:W3CDTF">2026-05-31T13:29:47Z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