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шесть-порядков-фазирования"/>
    <w:p>
      <w:pPr>
        <w:pStyle w:val="Heading2"/>
      </w:pPr>
      <w:r>
        <w:t xml:space="preserve">01 — Шесть порядков фазирования</w:t>
      </w:r>
    </w:p>
    <w:p>
      <w:pPr>
        <w:pStyle w:val="FirstParagraph"/>
      </w:pPr>
      <w:r>
        <w:rPr>
          <w:i/>
          <w:iCs/>
        </w:rPr>
        <w:t xml:space="preserve">Как перестроить несущую конструкцию управления, не допустив её обрушения в процессе работ? Шесть этапов, десять лет, один план действий.</w:t>
      </w:r>
    </w:p>
    <w:p>
      <w:pPr>
        <w:pStyle w:val="BodyText"/>
      </w:pPr>
      <w:r>
        <w:t xml:space="preserve">Инженер, реконструирующий мост, не станет опрометчиво сносить опоры. Сначала он замеряет конструкцию, устанавливает временные подпорки, заменяет детали в строго рассчитанном порядке и после каждого шага проверяет, остается ли запас прочности в пределах допустимого. Тот же принцип применим и к нидерландской демократии. Тот, кто желает реформировать систему, не допустив её краха в процессе изменений, должен действовать последовательно, а не революционно.</w:t>
      </w:r>
    </w:p>
    <w:p>
      <w:pPr>
        <w:pStyle w:val="BodyText"/>
      </w:pPr>
      <w:r>
        <w:t xml:space="preserve">В данном документе эта последовательность описана в шести этапах. Этапы с нулевого по четвёртый реализуются последовательно; пятый этап — образование — начинается незамедлительно и продолжается параллельно в течение десяти лет или дольше. Для каждого этапа указаны цель, конкретные меры и результат — то, что заметит гражданин, и то, как отреагирует система. Логика здесь физическая, а не идеологическая.</w:t>
      </w:r>
    </w:p>
    <w:p>
      <w:pPr>
        <w:pStyle w:val="BodyText"/>
      </w:pPr>
      <w:r>
        <w:rPr>
          <w:b/>
          <w:bCs/>
        </w:rPr>
        <w:t xml:space="preserve">График с 2026 по 2036 год</w:t>
      </w:r>
    </w:p>
    <w:p>
      <w:pPr>
        <w:pStyle w:val="BodyText"/>
      </w:pPr>
      <w:r>
        <w:t xml:space="preserve">Поэтапное реформирование затрагивает одновременно три уровня управления — государственный, провинциальный и муниципальный, — каждый из которых имеет свои показатели и свой темп. На карте качества ниже показано состояние каждого уровня на всех шести этапах, а также выявлены пробелы, которые восполняются данным планом действий.</w:t>
      </w:r>
    </w:p>
    <w:p>
      <w:pPr>
        <w:pStyle w:val="BodyText"/>
      </w:pPr>
      <w:r>
        <w:rPr>
          <w:b/>
          <w:bCs/>
        </w:rPr>
        <w:t xml:space="preserve">Нулевой этап — конституция и точка отсчета (нулевой год)</w:t>
      </w:r>
    </w:p>
    <w:p>
      <w:pPr>
        <w:pStyle w:val="BodyText"/>
      </w:pPr>
      <w:r>
        <w:t xml:space="preserve">Цель: заложить политический и юридический фундамент, не вводя ничего в действие. Создание политического движения за Nova Democratia. Проект конституционной реформы по четырем пунктам: положения о прекращении действия («sunset clauses»), разделение властей два-ноль, отмена Balkenende-norm, Статья тридцать вторая о финансировании СМИ. Определение двадцати четырех ключевых полей VMP с соответствующими метриками для каждого уровня управления. Первоначальный замер по каждому муниципалитету, провинции и государству — без этих данных невозможно будет позже, на третьем этапе, ввести двадцатипроцентный порог.</w:t>
      </w:r>
    </w:p>
    <w:p>
      <w:pPr>
        <w:pStyle w:val="BodyText"/>
      </w:pPr>
      <w:r>
        <w:t xml:space="preserve">Результат. Граждане пока не замечают изменений. Однако создана измеряемая база. Без этого этапа любой последующий шаг будет произвольным — подобно тому, как подрядчик начинает снос без конструктивного чертежа.</w:t>
      </w:r>
    </w:p>
    <w:p>
      <w:pPr>
        <w:pStyle w:val="BodyText"/>
      </w:pPr>
      <w:r>
        <w:rPr>
          <w:b/>
          <w:bCs/>
        </w:rPr>
        <w:t xml:space="preserve">Первый этап — прозрачность и уровень измерения (первый-второй годы)</w:t>
      </w:r>
    </w:p>
    <w:p>
      <w:pPr>
        <w:pStyle w:val="BodyText"/>
      </w:pPr>
      <w:r>
        <w:t xml:space="preserve">Запуск публичной панели показателей на всех трех уровнях управления. Каждая государственная служба получает индикатор «стоимость за единицу результата». Независимые надзорные органы получают полномочия на проведение внезапных проверок с эскалацией санкций: предупреждение, многолетний запрет, пожизненное исключение. Вступление в силу Статьи тридцать второй: деятельность государственных СМИ ограничивается предоставлением информации, не способствующей росту социальной напряженности; политические дебаты переносятся на частные телеканалы. Это происходит на ранней стадии, так как для остальной части перехода необходим независимый медиаландшафт.</w:t>
      </w:r>
    </w:p>
    <w:p>
      <w:pPr>
        <w:pStyle w:val="BodyText"/>
      </w:pPr>
      <w:r>
        <w:t xml:space="preserve">Результат. Граждане впервые видят по каждому ключевому полю, насколько эффективно или неэффективно работает их муниципалитет. Это формирует запрос снизу на следующий этап — измерение порождает суждение.</w:t>
      </w:r>
    </w:p>
    <w:p>
      <w:pPr>
        <w:pStyle w:val="BodyText"/>
      </w:pPr>
      <w:r>
        <w:rPr>
          <w:b/>
          <w:bCs/>
        </w:rPr>
        <w:t xml:space="preserve">Второй этап — уровень кадров и вознаграждения (второй-третий годы)</w:t>
      </w:r>
    </w:p>
    <w:p>
      <w:pPr>
        <w:pStyle w:val="BodyText"/>
      </w:pPr>
      <w:r>
        <w:t xml:space="preserve">Отмена Balkenende-norm для управленческого персонала одновременно с внедрением модели финансирования: аппарат государственных служащих полностью оплачивается из государственной казны с единой базовой ставкой на одного жителя для каждого уровня управления. Выплаты при увольнении (wachtgeld) для высших уровней государственной службы сокращаются с восьмидесяти процентов до нуля в течение трех лет. Вознаграждение, привязанное к результату, на основе KPI из первого этапа. До завершения как минимум одного полного года измерений переменные выплаты не производятся — в противном случае система будет поощрять статистический шум. Единоличное руководство через группы гражданских советов вводится сначала на муниципальном уровне с четко определенными границами полномочий.</w:t>
      </w:r>
    </w:p>
    <w:p>
      <w:pPr>
        <w:pStyle w:val="BodyText"/>
      </w:pPr>
      <w:r>
        <w:t xml:space="preserve">Результат. Повышение эффективности государственного управления за счет привлечения высококлассных специалистов, прекращения использования системы выходных пособий для кадровых ротаций и введения персональной ответственности за каждое направление, что ограничивает размытую власть бюрократии.</w:t>
      </w:r>
    </w:p>
    <w:p>
      <w:pPr>
        <w:pStyle w:val="BodyText"/>
      </w:pPr>
      <w:r>
        <w:rPr>
          <w:b/>
          <w:bCs/>
        </w:rPr>
        <w:t xml:space="preserve">Третий этап — обсуждение и уровень голосования (третий-четвёртый годы)</w:t>
      </w:r>
    </w:p>
    <w:p>
      <w:pPr>
        <w:pStyle w:val="BodyText"/>
      </w:pPr>
      <w:r>
        <w:t xml:space="preserve">Обсуждение решений гражданами путем жеребьевки становится структурным: по каждому ключевому полю проводятся консультации с участием экспертов. Пересмотр пятилетних целей по каждому ключевому полю «с чистого листа», ежегодно корректируемый на основе актуальных данных. Двойное голосование — голосование за политику плюс голосование за результаты — сначала тестируется на местном уровне в двух-трех пилотных муниципалитетах, затем на уровне провинций, и, наконец, в масштабах страны. Оба голосования являются обязательными. Полномочия и отстранение: если цель реализована менее чем на двадцать процентов, следует отстранение руководителей. Эту меру следует активировать только после того, как ключевые поля получат свою оценку, иначе порог будет лишен смысла.</w:t>
      </w:r>
    </w:p>
    <w:p>
      <w:pPr>
        <w:pStyle w:val="BodyText"/>
      </w:pPr>
      <w:r>
        <w:t xml:space="preserve">Результат. Политика оценивается по результатам, а не по обещаниям; смена коалиций больше не дезорганизует управление, так как политика больше не зависит от состава коалиции.</w:t>
      </w:r>
    </w:p>
    <w:p>
      <w:pPr>
        <w:pStyle w:val="BodyText"/>
      </w:pPr>
      <w:r>
        <w:rPr>
          <w:b/>
          <w:bCs/>
        </w:rPr>
        <w:t xml:space="preserve">Четвёртый этап — законодательный уровень с системой автоматического прекращения действия законов (четвёртый-шестой годы)</w:t>
      </w:r>
    </w:p>
    <w:p>
      <w:pPr>
        <w:pStyle w:val="BodyText"/>
      </w:pPr>
      <w:r>
        <w:t xml:space="preserve">Положения о прекращении действия («sunset clauses») вступают в силу поэтапно: обычные законы — пять лет, важные законы — десять лет, конституционные положения — двадцать лет. Для существующих законов устанавливается график постепенного прекращения действия, чтобы избежать одновременного истечения всех сроков. Продление требует оценки гражданским советом. Законы, не прошедшие оценку, утрачивают силу автоматически. Важное исключение: законы об имплементации директив EU-richtlijnen не подлежат автоматической отмене; для них действует только обязательство по оценке. Конституционные положения о правах человека продлеваются по умолчанию, а не отменяются по умолчанию.</w:t>
      </w:r>
    </w:p>
    <w:p>
      <w:pPr>
        <w:pStyle w:val="BodyText"/>
      </w:pPr>
      <w:r>
        <w:t xml:space="preserve">Результат. Система очищает себя сама. Устаревшие или контрпродуктивные законы исчезают без необходимости проявления политического мужества в будущем.</w:t>
      </w:r>
    </w:p>
    <w:p>
      <w:pPr>
        <w:pStyle w:val="BodyText"/>
      </w:pPr>
      <w:r>
        <w:rPr>
          <w:b/>
          <w:bCs/>
        </w:rPr>
        <w:t xml:space="preserve">Пятый этап — фундамент образования (параллельно, с первого по десятый год и далее)</w:t>
      </w:r>
    </w:p>
    <w:p>
      <w:pPr>
        <w:pStyle w:val="BodyText"/>
      </w:pPr>
      <w:r>
        <w:t xml:space="preserve">Образование намеренно является долгосрочным и параллельным этапом. Профилактика преступности через воспитание эффективна только в раннем возрасте, а реформа финансирования даст плоды лишь спустя целое школьное поколение. Подэтап a, первый-второй годы: централизованно регулируемые выпускные экзамены становятся инструментом измерения. Финансирование переориентируется с количества выпускников на средние баллы за экзамены. Подэтап b, второй-четвёртый годы: более строгие вступительные экзамены, возвращение к отбору мотивированных созидателей. Подэтап c, третий-десятый годы: акцент смещается на формирование характера в раннем возрасте. Подэтап d, пятый год и далее: высшее образование приводится в соответствие с двадцатью четырьмя ключевыми полями VMP.</w:t>
      </w:r>
    </w:p>
    <w:p>
      <w:pPr>
        <w:pStyle w:val="BodyText"/>
      </w:pPr>
      <w:r>
        <w:t xml:space="preserve">Результат. Только на этом этапе формируется тип гражданина и государственного служащего, способный поддерживать демократию достижений. Поэтому образование не может стоять в конце — оно должно осуществляться с первого года.</w:t>
      </w:r>
    </w:p>
    <w:p>
      <w:pPr>
        <w:pStyle w:val="BlockText"/>
      </w:pPr>
      <w:r>
        <w:rPr>
          <w:i/>
          <w:iCs/>
        </w:rPr>
        <w:t xml:space="preserve">Современная демократия не вынесет революции. Однако она способна выдержать расчетливую перестройку — именно в такой последовательности.</w:t>
      </w:r>
    </w:p>
    <w:p>
      <w:pPr>
        <w:pStyle w:val="FirstParagraph"/>
      </w:pPr>
      <w:r>
        <w:rPr>
          <w:b/>
          <w:bCs/>
        </w:rPr>
        <w:t xml:space="preserve">Чем не является данный документ</w:t>
      </w:r>
    </w:p>
    <w:p>
      <w:pPr>
        <w:pStyle w:val="BodyText"/>
      </w:pPr>
      <w:r>
        <w:t xml:space="preserve">Это не чертеж. Не закон. Не программа партии. Это расчет конструкции для нидерландского государства — измеряемый, поэтапный и поддающийся калибровке. Каждый этап черпает свою легитимность из измерений предыдущего. Тот, кто отвергает эту логику, волен это делать. Но без последовательности, без измерения и без классификации возражений любая реформа в какой-то момент будет поглощена существующей инерцией. Это не предсказание, это инженерный вывод, основанный на анализе Парето, который будет представлен в следующем выпуске.</w:t>
      </w:r>
    </w:p>
    <w:p>
      <w:pPr>
        <w:pStyle w:val="BodyText"/>
      </w:pPr>
      <w:r>
        <w:t xml:space="preserve">Het Open Vizier · novademocratia.com · Рабочие материалы · Jacobus van Merksteijn · Июнь 2026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2026-06-03T18:37:29Z</dcterms:created>
  <dcterms:modified xsi:type="dcterms:W3CDTF">2026-06-03T18:37:29Z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