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ie-blokkeert-en-hoe-zwaar"/>
    <w:p>
      <w:pPr>
        <w:pStyle w:val="Heading2"/>
      </w:pPr>
      <w:r>
        <w:t xml:space="preserve">02 — Wie blokkeert, en hoe zwaar?</w:t>
      </w:r>
    </w:p>
    <w:p>
      <w:pPr>
        <w:pStyle w:val="FirstParagraph"/>
      </w:pPr>
      <w:r>
        <w:rPr>
          <w:i/>
          <w:iCs/>
        </w:rPr>
        <w:t xml:space="preserve">Twaalf groepen leveren samen tachtig procent van alle blokkade tegen Nova Democratia. De Pareto‐analyse, toegepast op politieke traagheid.</w:t>
      </w:r>
    </w:p>
    <w:p>
      <w:pPr>
        <w:pStyle w:val="BodyText"/>
      </w:pPr>
      <w:r>
        <w:t xml:space="preserve">De klassieke Pareto‐analyse rangschikt oorzaken op frequentie. Voor een politieke transitie is frequentie zinloos. Wat telt is remwicht: het vermogen van een schakel-met-traagheid om de transitie juridisch, electoraal of operationeel te stoppen. Daarom werken wij met drie wegingsfactoren per schakel-met-traagheid, vermenigvuldigd tot een score tussen een en duizend.</w:t>
      </w:r>
    </w:p>
    <w:p>
      <w:pPr>
        <w:pStyle w:val="BodyText"/>
      </w:pPr>
      <w:r>
        <w:t xml:space="preserve">Intensiteit — hoe hard verzet de groep zich. Existentieel verlies scoort tien, principieel ongemak twee. Machtshefboom — kan de groep de stap juridisch, electoraal of operationeel stoppen. Vetorecht is tien, alleen publieke kritiek is twee. Uithoudingsvermogen — hoe lang kan de groep blokkeren. Institutioneel verankerd is tien, eenmalige campagne is twee. De drie factoren samen leveren de traagheidsscore.</w:t>
      </w:r>
    </w:p>
    <w:p>
      <w:pPr>
        <w:pStyle w:val="BodyText"/>
      </w:pPr>
      <w:r>
        <w:rPr>
          <w:b/>
          <w:bCs/>
        </w:rPr>
        <w:t xml:space="preserve">De Pareto</w:t>
      </w:r>
    </w:p>
    <w:p>
      <w:pPr>
        <w:pStyle w:val="BodyText"/>
      </w:pPr>
      <w:r>
        <w:rPr>
          <w:b/>
          <w:bCs/>
        </w:rPr>
        <w:t xml:space="preserve">Wat de cijfers zeggen</w:t>
      </w:r>
    </w:p>
    <w:p>
      <w:pPr>
        <w:pStyle w:val="BodyText"/>
      </w:pPr>
      <w:r>
        <w:rPr>
          <w:b/>
          <w:bCs/>
        </w:rPr>
        <w:t xml:space="preserve">EU-recht — het lijkt de grootste, maar is een variabele</w:t>
      </w:r>
    </w:p>
    <w:p>
      <w:pPr>
        <w:pStyle w:val="BodyText"/>
      </w:pPr>
      <w:r>
        <w:t xml:space="preserve">Brussel kreeg in de eerste rekening negenhonderd punten op basis van een machtshefboomscore van tien op tien — vetorecht. Maar zoals aflevering nul aantoonde, geldt die score alleen zolang Nederland het EU‐frame als gegeven aanvaardt. Onder positie B — publieke ordeclassificatie van EU‐regelgeving — daalt de hefboom naar zes, en de score naar vijfhonderdveertig. Brussel verschuift van rang een naar rang vier.</w:t>
      </w:r>
    </w:p>
    <w:p>
      <w:pPr>
        <w:pStyle w:val="BodyText"/>
      </w:pPr>
      <w:r>
        <w:rPr>
          <w:b/>
          <w:bCs/>
        </w:rPr>
        <w:t xml:space="preserve">Bonden — het werkelijke zwaartepunt</w:t>
      </w:r>
    </w:p>
    <w:p>
      <w:pPr>
        <w:pStyle w:val="BodyText"/>
      </w:pPr>
      <w:r>
        <w:t xml:space="preserve">Onderwijsbonden achthonderdtien, ambtenarenbonden achthonderd. Samen met NPO‐journalistiek vormen zij een gesyndiceerd blok van tweeentwintighonderdveertig punten. Maar het belangrijkste is hun karakter: drie aparte blokkades over fases een, twee en vijf, met hoog uithoudingsvermogen. Geen kunstgreep lost dat op. Het vereist sequencing, cao‐timing en compensatie. Brussel is een muur, de bonden zijn een moeras.</w:t>
      </w:r>
    </w:p>
    <w:p>
      <w:pPr>
        <w:pStyle w:val="BodyText"/>
      </w:pPr>
      <w:r>
        <w:rPr>
          <w:b/>
          <w:bCs/>
        </w:rPr>
        <w:t xml:space="preserve">Partijen — verzet op twee plekken</w:t>
      </w:r>
    </w:p>
    <w:p>
      <w:pPr>
        <w:pStyle w:val="BodyText"/>
      </w:pPr>
      <w:r>
        <w:t xml:space="preserve">Zittende partijen scoren in fase nul (zeshonderdachtenveertig op bestaansrecht) en fase drie (achthonderdtien op agendamonopolie) — samen veertienhonderdachtenvijftig punten. Het is de enige schakel-met-traagheid die op twee plekken hoog scoort. Implicatie: zonder een eigen electoraal vehikel voor Nova Democratia is de transitie kansloos. Geen bestaande partij heeft de prikkel om dit te dragen — partijdemocratie wordt door Nova Democratia gerelativeerd tot een instrument, niet langer de grondslag.</w:t>
      </w:r>
    </w:p>
    <w:p>
      <w:pPr>
        <w:pStyle w:val="BlockText"/>
      </w:pPr>
      <w:r>
        <w:rPr>
          <w:i/>
          <w:iCs/>
        </w:rPr>
        <w:t xml:space="preserve">Twaalf groepen leveren tachtig procent van de remwicht. Daar moet alle strategische energie naartoe.</w:t>
      </w:r>
    </w:p>
    <w:p>
      <w:pPr>
        <w:pStyle w:val="FirstParagraph"/>
      </w:pPr>
      <w:r>
        <w:rPr>
          <w:b/>
          <w:bCs/>
        </w:rPr>
        <w:t xml:space="preserve">Wat een gewogen Pareto onthult</w:t>
      </w:r>
    </w:p>
    <w:p>
      <w:pPr>
        <w:pStyle w:val="BodyText"/>
      </w:pPr>
      <w:r>
        <w:t xml:space="preserve">De methode is bewust ingenieursachtig. Niet om kritiek te smoren, maar om strategie te kunnen maken. Wie alle traagheid gelijk weegt, plant slecht. Wie alleen frequentie meet, vergeet machtshefboom. Wie alleen machtshefboom meet, vergeet uithoudingsvermogen. Pas de combinatie van drie geeft een werkbare prioritering.</w:t>
      </w:r>
    </w:p>
    <w:p>
      <w:pPr>
        <w:pStyle w:val="BodyText"/>
      </w:pPr>
      <w:r>
        <w:t xml:space="preserve">De volgende aflevering toont wat publieke ordeclassificatie met deze cijfers doet. Het antwoord is verrassend krachtig: de totale remwicht kan worden gehalveerd zonder dat een enkel inhoudelijk argument is bestreden.</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2026-06-03T08:10:28Z</dcterms:created>
  <dcterms:modified xsi:type="dcterms:W3CDTF">2026-06-03T08:10:28Z</dcterms:modified>
</cp:coreProperties>
</file>

<file path=docProps/custom.xml><?xml version="1.0" encoding="utf-8"?>
<Properties xmlns="http://schemas.openxmlformats.org/officeDocument/2006/custom-properties" xmlns:vt="http://schemas.openxmlformats.org/officeDocument/2006/docPropsVTypes"/>
</file>