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кто-блокирует-и-насколько-сильно"/>
    <w:p>
      <w:pPr>
        <w:pStyle w:val="Heading2"/>
      </w:pPr>
      <w:r>
        <w:t xml:space="preserve">02 — Кто блокирует и насколько сильно?</w:t>
      </w:r>
    </w:p>
    <w:p>
      <w:pPr>
        <w:pStyle w:val="FirstParagraph"/>
      </w:pPr>
      <w:r>
        <w:rPr>
          <w:i/>
          <w:iCs/>
        </w:rPr>
        <w:t xml:space="preserve">Двенадцать групп в совокупности создают восемьдесят процентов всего сопротивления против Nova Democratia. Анализ Парето в применении к политической инерции.</w:t>
      </w:r>
    </w:p>
    <w:p>
      <w:pPr>
        <w:pStyle w:val="BodyText"/>
      </w:pPr>
      <w:r>
        <w:t xml:space="preserve">Классический анализ Парето ранжирует причины по частоте их возникновения. Для политической трансформации частота бессмысленна. Значение имеет вес торможения: способность звена, обладающего инерцией, остановить трансформацию юридически, электорально или операционно. Поэтому мы работаем с тремя весовыми коэффициентами для каждого звена с инерцией, перемножая их до получения оценки в диапазоне от одного до тысячи.</w:t>
      </w:r>
    </w:p>
    <w:p>
      <w:pPr>
        <w:pStyle w:val="BodyText"/>
      </w:pPr>
      <w:r>
        <w:t xml:space="preserve">Интенсивность — насколько жестко группа сопротивляется. Экзистенциальная потеря оценивается в десять баллов, принципиальный дискомфорт — в два. Рычаг власти — может ли группа остановить процесс юридически, электорально или операционно. Право вето — это десять баллов, только лишь публичная критика — два. Выносливость — как долго группа способна блокировать процесс. Институциональная закрепленность — это десять баллов, разовая кампания — два. Сочетание этих трех факторов дает итоговый показатель инерции.</w:t>
      </w:r>
    </w:p>
    <w:p>
      <w:pPr>
        <w:pStyle w:val="BodyText"/>
      </w:pPr>
      <w:r>
        <w:rPr>
          <w:b/>
          <w:bCs/>
        </w:rPr>
        <w:t xml:space="preserve">Парето</w:t>
      </w:r>
    </w:p>
    <w:p>
      <w:pPr>
        <w:pStyle w:val="BodyText"/>
      </w:pPr>
      <w:r>
        <w:rPr>
          <w:b/>
          <w:bCs/>
        </w:rPr>
        <w:t xml:space="preserve">О чем говорят цифры</w:t>
      </w:r>
    </w:p>
    <w:p>
      <w:pPr>
        <w:pStyle w:val="BodyText"/>
      </w:pPr>
      <w:r>
        <w:rPr>
          <w:b/>
          <w:bCs/>
        </w:rPr>
        <w:t xml:space="preserve">Право ЕС — кажется самым значительным, но является переменной величиной</w:t>
      </w:r>
    </w:p>
    <w:p>
      <w:pPr>
        <w:pStyle w:val="BodyText"/>
      </w:pPr>
      <w:r>
        <w:t xml:space="preserve">Брюссель получил в первом расчете девятьсот баллов на основе оценки рычага власти десять из десяти — право вето. Но, как показал нулевой выпуск, этот балл действителен лишь до тех пор, пока Нидерланды принимают рамки ЕС как данность. При позиции Б — классификации норм ЕС как вопросов общественного порядка — рычаг власти снижается до шести, а оценка — до пятисот сорока. Брюссель перемещается с первого места на четвертое.</w:t>
      </w:r>
    </w:p>
    <w:p>
      <w:pPr>
        <w:pStyle w:val="BodyText"/>
      </w:pPr>
      <w:r>
        <w:rPr>
          <w:b/>
          <w:bCs/>
        </w:rPr>
        <w:t xml:space="preserve">Профсоюзы — истинный центр тяжести</w:t>
      </w:r>
    </w:p>
    <w:p>
      <w:pPr>
        <w:pStyle w:val="BodyText"/>
      </w:pPr>
      <w:r>
        <w:t xml:space="preserve">Профсоюзы работников образования — восемьсот десять баллов, профсоюзы государственных служащих — восемьсот баллов. Вместе с журналистикой NPO они образуют синдицированный блок в две тысячи двести сорок баллов. Но самым важным является их характер: три отдельных препятствия на этапах один, два и пять с высокой выносливостью. Никакая уловка этого не решит. Это требует последовательности действий (sequencing), согласования сроков коллективных договоров и компенсации. Брюссель — это стена, профсоюзы — это болото.</w:t>
      </w:r>
    </w:p>
    <w:p>
      <w:pPr>
        <w:pStyle w:val="BodyText"/>
      </w:pPr>
      <w:r>
        <w:rPr>
          <w:b/>
          <w:bCs/>
        </w:rPr>
        <w:t xml:space="preserve">Партии — сопротивление в двух точках</w:t>
      </w:r>
    </w:p>
    <w:p>
      <w:pPr>
        <w:pStyle w:val="BodyText"/>
      </w:pPr>
      <w:r>
        <w:t xml:space="preserve">Правящие партии получают баллы на этапе ноль (шестьсот сорок восемь за право на существование) и на этапе три (восемьсот десять за монополию на повестку дня) — в сумме тысяча четыреста пятьдесят восемь баллов. Это единственное звено с инерцией, которое показывает высокие результаты сразу в двух местах. Вывод: без собственного электорального инструмента для Nova Democratia трансформация обречена на провал. Ни у одной из существующих партий нет стимула нести это бремя — партийная демократия релятивизируется Nova Democratia до уровня инструмента, переставая быть фундаментом.</w:t>
      </w:r>
    </w:p>
    <w:p>
      <w:pPr>
        <w:pStyle w:val="BlockText"/>
      </w:pPr>
      <w:r>
        <w:rPr>
          <w:i/>
          <w:iCs/>
        </w:rPr>
        <w:t xml:space="preserve">Двенадцать групп создают восемьдесят процентов веса торможения. Именно туда должна быть направлена вся стратегическая энергия.</w:t>
      </w:r>
    </w:p>
    <w:p>
      <w:pPr>
        <w:pStyle w:val="FirstParagraph"/>
      </w:pPr>
      <w:r>
        <w:rPr>
          <w:b/>
          <w:bCs/>
        </w:rPr>
        <w:t xml:space="preserve">Что раскрывает взвешенный анализ Парето</w:t>
      </w:r>
    </w:p>
    <w:p>
      <w:pPr>
        <w:pStyle w:val="BodyText"/>
      </w:pPr>
      <w:r>
        <w:t xml:space="preserve">Этот метод намеренно инженерный по своей сути. Не для того, чтобы подавить критику, а для того, чтобы иметь возможность выстраивать стратегию. Тот, кто придает равный вес всей инерции, плохо планирует. Тот, кто измеряет только частоту, забывает о рычаге власти. Тот, кто измеряет только рычаг власти, забывает о выносливости. Только сочетание этих трех факторов дает жизнеспособную приоритизацию.</w:t>
      </w:r>
    </w:p>
    <w:p>
      <w:pPr>
        <w:pStyle w:val="BodyText"/>
      </w:pPr>
      <w:r>
        <w:t xml:space="preserve">Следующий выпуск покажет, что классификация вопросов общественного порядка делает с этими цифрами. Ответ удивительно мощен: общий вес торможения может быть сокращен вдвое без оспаривания ни единого содержательного аргумента.</w:t>
      </w:r>
    </w:p>
    <w:p>
      <w:pPr>
        <w:pStyle w:val="BodyText"/>
      </w:pPr>
      <w:r>
        <w:t xml:space="preserve">Het Open Vizier · novademocratia.com · Рабочие материалы · Jacobus van Merksteijn · Июнь 2026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2026-06-03T18:37:29Z</dcterms:created>
  <dcterms:modified xsi:type="dcterms:W3CDTF">2026-06-03T18:37:29Z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