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91f393353708ff557bfdf817cbe541096123a3"/>
    <w:p>
      <w:pPr>
        <w:pStyle w:val="Heading2"/>
      </w:pPr>
      <w:r>
        <w:t xml:space="preserve">04 — Ordes van bezwaar — een publieke classificatiestandaard</w:t>
      </w:r>
    </w:p>
    <w:p>
      <w:pPr>
        <w:pStyle w:val="FirstParagraph"/>
      </w:pPr>
      <w:r>
        <w:rPr>
          <w:i/>
          <w:iCs/>
        </w:rPr>
        <w:t xml:space="preserve">Een ingenieur weegt belastingen voordat hij ze behandelt. Voor politieke bezwaren geldt dezelfde regel — mits de weging publiek, consistent en zonder uitzondering wordt toegepast.</w:t>
      </w:r>
    </w:p>
    <w:p>
      <w:pPr>
        <w:pStyle w:val="BodyText"/>
      </w:pPr>
      <w:r>
        <w:t xml:space="preserve">Een ingenieur weegt niet elke belasting gelijk. Een windvlaag, eerste orde, elastisch, voorbijgaand, krijgt geen herontwerp. Een permanente eigenlast, tweede orde, plastisch, blijvend, wel. Een knikbelasting, derde orde, naderend bezwijken, overheerst alles. Dezelfde logica past op politieke tegenwerpingen — niet om kritiek te negeren, maar om kritiek te sorteren voordat zij wordt behandeld.</w:t>
      </w:r>
    </w:p>
    <w:p>
      <w:pPr>
        <w:pStyle w:val="BodyText"/>
      </w:pPr>
      <w:r>
        <w:t xml:space="preserve">De truc is dat de classificatie zelf publiek gebeurt. Niet als oordeel achter gesloten deuren, maar als gepubliceerd protocol. Dat dwingt schakels-met-traagheid om hun argument naar een hogere orde te tillen, of publiekelijk te accepteren dat zij in de eerste orde zitten — wat hun remwicht uitholt zonder dat een inhoudelijk argument is weerlegd.</w:t>
      </w:r>
    </w:p>
    <w:p>
      <w:pPr>
        <w:pStyle w:val="BodyText"/>
      </w:pPr>
      <w:r>
        <w:rPr>
          <w:b/>
          <w:bCs/>
        </w:rPr>
        <w:t xml:space="preserve">De beslisboom</w:t>
      </w:r>
    </w:p>
    <w:p>
      <w:pPr>
        <w:pStyle w:val="BodyText"/>
      </w:pPr>
      <w:r>
        <w:rPr>
          <w:b/>
          <w:bCs/>
        </w:rPr>
        <w:t xml:space="preserve">Vier ordes, vier behandelingen</w:t>
      </w:r>
    </w:p>
    <w:p>
      <w:pPr>
        <w:pStyle w:val="BodyText"/>
      </w:pPr>
      <w:r>
        <w:rPr>
          <w:b/>
          <w:bCs/>
        </w:rPr>
        <w:t xml:space="preserve">Eerste orde — belang, emotie, incident, symptoom</w:t>
      </w:r>
    </w:p>
    <w:p>
      <w:pPr>
        <w:pStyle w:val="BodyText"/>
      </w:pPr>
      <w:r>
        <w:t xml:space="preserve">Een bezwaar dat een persoonlijk, organisatorisch of branche‐belang van de indiener verdedigt. Constructie‐analogie: elastische respons, verdwijnt na belasting. Behandeling: erkennen, classificeren, niet inhoudelijk weerleggen. Indiener mag bezwaar verheffen tot tweede of derde orde door aanvullende motivering te leveren — zonder die motivering blijft het in eerste orde.</w:t>
      </w:r>
    </w:p>
    <w:p>
      <w:pPr>
        <w:pStyle w:val="BodyText"/>
      </w:pPr>
      <w:r>
        <w:rPr>
          <w:b/>
          <w:bCs/>
        </w:rPr>
        <w:t xml:space="preserve">Tweede orde — institutioneel, procedureel, vakgebonden</w:t>
      </w:r>
    </w:p>
    <w:p>
      <w:pPr>
        <w:pStyle w:val="BodyText"/>
      </w:pPr>
      <w:r>
        <w:t xml:space="preserve">Een bezwaar gebonden aan een specifiek instituut, procedure of vakgebied. Constructie‐analogie: plastische respons, blijvend maar beheersbaar. Behandeling: erkennen als legitiem institutioneel belang, opnemen in onderhandelingstabel, compensatie of overgangsregeling voorzien. Geen ontwerpaanpassing van de hoofdconstructie.</w:t>
      </w:r>
    </w:p>
    <w:p>
      <w:pPr>
        <w:pStyle w:val="BodyText"/>
      </w:pPr>
      <w:r>
        <w:rPr>
          <w:b/>
          <w:bCs/>
        </w:rPr>
        <w:t xml:space="preserve">Derde orde — constructief, ontwerpkritiek, structureel</w:t>
      </w:r>
    </w:p>
    <w:p>
      <w:pPr>
        <w:pStyle w:val="BodyText"/>
      </w:pPr>
      <w:r>
        <w:t xml:space="preserve">Een bezwaar dat een ontwerpfout identificeert die ook bij andere indieners op dezelfde manier zou opduiken. Constructie‐analogie: naderende bezwijkgrens, vereist ontwerpaanpassing. Behandeling: inhoudelijk wegen door ontwerpteam, publiek aangeven of het ontwerp wordt aangepast, bij gegrond bezwaar publieke ontwerpwijziging met dank aan indiener.</w:t>
      </w:r>
    </w:p>
    <w:p>
      <w:pPr>
        <w:pStyle w:val="BodyText"/>
      </w:pPr>
      <w:r>
        <w:rPr>
          <w:b/>
          <w:bCs/>
        </w:rPr>
        <w:t xml:space="preserve">Vierde orde — grondslag</w:t>
      </w:r>
    </w:p>
    <w:p>
      <w:pPr>
        <w:pStyle w:val="BodyText"/>
      </w:pPr>
      <w:r>
        <w:t xml:space="preserve">Een bezwaar dat de grondslagen raakt waarop elke democratie rust: volkssoevereiniteit, mensenrechten, rechtsstaat. Constructie‐analogie: de grondvesten zelf. Behandeling: geen onderhandeling. Bezwaar wordt automatisch onderdeel van de legitimiteitstoets — referendum, grondwetstweede‐lezing, verdragstoets. Als Nova Democratia deze toets niet haalt, verdient het invoering niet. Dat is de zelfopgelegde grondslagcheck.</w:t>
      </w:r>
    </w:p>
    <w:p>
      <w:pPr>
        <w:pStyle w:val="BlockText"/>
      </w:pPr>
      <w:r>
        <w:rPr>
          <w:i/>
          <w:iCs/>
        </w:rPr>
        <w:t xml:space="preserve">Eén keer een tweede-orde bezwaar als eerste orde classificeren wegens politieke ongemakkelijkheid breekt het systeem. Het ingenieurskarakter is de geloofwaardigheidsbron.</w:t>
      </w:r>
    </w:p>
    <w:p>
      <w:pPr>
        <w:pStyle w:val="FirstParagraph"/>
      </w:pPr>
      <w:r>
        <w:rPr>
          <w:b/>
          <w:bCs/>
        </w:rPr>
        <w:t xml:space="preserve">Het Bezwaarregister</w:t>
      </w:r>
    </w:p>
    <w:p>
      <w:pPr>
        <w:pStyle w:val="BodyText"/>
      </w:pPr>
      <w:r>
        <w:t xml:space="preserve">Elke gepubliceerde reactie op een bezwaar volgt een vast format: bezwaarnummer, indiener, datum, orde, motivering classificatie, behandeling, status. Bezwaren worden opgenomen in een doorlopend openbaar register, doorzoekbaar op orde, indiener en kernveld. Wie tegen Nova Democratia is, kan zien in welk vakje zijn argument valt. Wie zijn argument wil verheffen, mag aanvullende motivering leveren — het register blijft open.</w:t>
      </w:r>
    </w:p>
    <w:p>
      <w:pPr>
        <w:pStyle w:val="BodyText"/>
      </w:pPr>
      <w:r>
        <w:t xml:space="preserve">Het protocol werkt alleen als het publiek, consistent en zonder uitzonderingen wordt toegepast. Een veiligheidsfactor die soms anderhalf is en soms acht tiende, is geen veiligheidsfactor meer. Een classificatieprotocol dat selectief wordt toegepast, is geen protocol meer maar gelegenheidsargumentatie. De volgende aflevering toont het protocol in actie aan de hand van twintig reele Nederlandse bezwaren.</w:t>
      </w:r>
    </w:p>
    <w:p>
      <w:pPr>
        <w:pStyle w:val="BodyText"/>
      </w:pPr>
      <w:r>
        <w:t xml:space="preserve">Open Vizier · novademocratia.com · Werkmateriaal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2026-06-03T08:10:27Z</dcterms:created>
  <dcterms:modified xsi:type="dcterms:W3CDTF">2026-06-03T08:10:27Z</dcterms:modified>
</cp:coreProperties>
</file>

<file path=docProps/custom.xml><?xml version="1.0" encoding="utf-8"?>
<Properties xmlns="http://schemas.openxmlformats.org/officeDocument/2006/custom-properties" xmlns:vt="http://schemas.openxmlformats.org/officeDocument/2006/docPropsVTypes"/>
</file>