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wintig-actuele-bezwaren-geclassificeerd"/>
    <w:p>
      <w:pPr>
        <w:pStyle w:val="Heading2"/>
      </w:pPr>
      <w:r>
        <w:t xml:space="preserve">05 — Twintig actuele bezwaren, geclassificeerd</w:t>
      </w:r>
    </w:p>
    <w:p>
      <w:pPr>
        <w:pStyle w:val="FirstParagraph"/>
      </w:pPr>
      <w:r>
        <w:rPr>
          <w:i/>
          <w:iCs/>
        </w:rPr>
        <w:t xml:space="preserve">Het protocol uit aflevering vier, toegepast op twintig reele Nederlandse kritiekpunten. Wat de classificatie onthult: het systeem wordt béter door geclassificeerde traagheid.</w:t>
      </w:r>
    </w:p>
    <w:p>
      <w:pPr>
        <w:pStyle w:val="BodyText"/>
      </w:pPr>
      <w:r>
        <w:t xml:space="preserve">Een classificatieprotocol is alleen zoveel waard als zijn toepassing. Hieronder twintig bezwaren die in Nederland reeel circuleren bij hervormingen vergelijkbaar met Nova Democratia, getoetst aan de beslisboom uit de vorige aflevering. Elk bezwaar krijgt een orde‐stempel, een korte motivering en de behandeling.</w:t>
      </w:r>
    </w:p>
    <w:p>
      <w:pPr>
        <w:pStyle w:val="BodyText"/>
      </w:pPr>
      <w:r>
        <w:rPr>
          <w:b/>
          <w:bCs/>
        </w:rPr>
        <w:t xml:space="preserve">De verdeling in een blik</w:t>
      </w:r>
    </w:p>
    <w:p>
      <w:pPr>
        <w:pStyle w:val="BodyText"/>
      </w:pPr>
      <w:r>
        <w:rPr>
          <w:b/>
          <w:bCs/>
        </w:rPr>
        <w:t xml:space="preserve">Een selectie uit het register</w:t>
      </w:r>
    </w:p>
    <w:p>
      <w:pPr>
        <w:pStyle w:val="BodyText"/>
      </w:pPr>
      <w:r>
        <w:rPr>
          <w:b/>
          <w:bCs/>
        </w:rPr>
        <w:t xml:space="preserve">Wat de classificatie demonstreert</w:t>
      </w:r>
    </w:p>
    <w:p>
      <w:pPr>
        <w:pStyle w:val="BodyText"/>
      </w:pPr>
      <w:r>
        <w:t xml:space="preserve">Vijfenveertig procent van alle bezwaren is derde orde en leidt tot concrete ontwerpwijzigingen — EU‐uitzondering op sunset, mensenrechtenbescherming, staffel voor kleine gemeenten, gestratificeerde loting. Het systeem wordt béter door geclassificeerde traagheid, niet zwakker.</w:t>
      </w:r>
    </w:p>
    <w:p>
      <w:pPr>
        <w:pStyle w:val="BodyText"/>
      </w:pPr>
      <w:r>
        <w:t xml:space="preserve">Vijfendertig procent is eerste orde en kan via consistente publieke classificatie geneutraliseerd worden zonder ze inhoudelijk te bestrijden. Tien procent is vierde orde en wordt niet weerlegd maar opgenomen als zelfopgelegde legitimiteitstoets. Slechts tien procent vraagt om institutionele onderhandeling.</w:t>
      </w:r>
    </w:p>
    <w:p>
      <w:pPr>
        <w:pStyle w:val="BlockText"/>
      </w:pPr>
      <w:r>
        <w:rPr>
          <w:i/>
          <w:iCs/>
        </w:rPr>
        <w:t xml:space="preserve">Bezwaren neutraliseren door classificatie, niet door tegenargumenten. Dat is het wezenlijke verschil met de huidige Nederlandse politiek.</w:t>
      </w:r>
    </w:p>
    <w:p>
      <w:pPr>
        <w:pStyle w:val="FirstParagraph"/>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