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zwanzig-aktuelle-einwände-klassifiziert"/>
    <w:p>
      <w:pPr>
        <w:pStyle w:val="Heading2"/>
      </w:pPr>
      <w:r>
        <w:t xml:space="preserve">05 — Zwanzig aktuelle Einwände, klassifiziert</w:t>
      </w:r>
    </w:p>
    <w:p>
      <w:pPr>
        <w:pStyle w:val="FirstParagraph"/>
      </w:pPr>
      <w:r>
        <w:rPr>
          <w:i/>
          <w:iCs/>
        </w:rPr>
        <w:t xml:space="preserve">Das Protokoll aus der vierten Folge, angewandt auf zwanzig reale niederländische Kritikpunkte. Was die Klassifizierung enthüllt: Das System wird durch klassifizierte Trägheit besser.</w:t>
      </w:r>
    </w:p>
    <w:p>
      <w:pPr>
        <w:pStyle w:val="BodyText"/>
      </w:pPr>
      <w:r>
        <w:t xml:space="preserve">Ein Klassifizierungsprotokoll ist nur so viel wert wie seine Anwendung. Im Folgenden finden Sie zwanzig Einwände, die in den Niederlanden bei Reformen, die mit Nova Democratia vergleichbar sind, real zirkulieren, geprüft anhand des Entscheidungsbaums aus der vorangegangenen Folge. Jeder Einwand erhält einen Ordnungsstempel, eine kurze Begründung und die entsprechende Behandlung.</w:t>
      </w:r>
    </w:p>
    <w:p>
      <w:pPr>
        <w:pStyle w:val="BodyText"/>
      </w:pPr>
      <w:r>
        <w:rPr>
          <w:b/>
          <w:bCs/>
        </w:rPr>
        <w:t xml:space="preserve">Die Verteilung auf einen Blick</w:t>
      </w:r>
    </w:p>
    <w:p>
      <w:pPr>
        <w:pStyle w:val="BodyText"/>
      </w:pPr>
      <w:r>
        <w:rPr>
          <w:b/>
          <w:bCs/>
        </w:rPr>
        <w:t xml:space="preserve">Eine Auswahl aus dem Register</w:t>
      </w:r>
    </w:p>
    <w:p>
      <w:pPr>
        <w:pStyle w:val="BodyText"/>
      </w:pPr>
      <w:r>
        <w:rPr>
          <w:b/>
          <w:bCs/>
        </w:rPr>
        <w:t xml:space="preserve">Was die Klassifizierung demonstriert</w:t>
      </w:r>
    </w:p>
    <w:p>
      <w:pPr>
        <w:pStyle w:val="BodyText"/>
      </w:pPr>
      <w:r>
        <w:t xml:space="preserve">Fünfundvierzig Prozent aller Einwände sind dritter Ordnung und führen zu konkreten Entwurfsänderungen — EU-Ausnahme bei der Sunset-Regelung, Menschenrechtsschutz, Staffelung für kleine Gemeinden, stratifizierte Losverfahren. Das System wird durch klassifizierte Trägheit besser, nicht schwächer.</w:t>
      </w:r>
    </w:p>
    <w:p>
      <w:pPr>
        <w:pStyle w:val="BodyText"/>
      </w:pPr>
      <w:r>
        <w:t xml:space="preserve">Fünfunddreißig Prozent sind erster Ordnung und können durch eine konsistente öffentliche Klassifizierung neutralisiert werden, ohne sie inhaltlich zu bekämpfen. Zehn Prozent sind vierter Ordnung und werden nicht widerlegt, sondern als selbst auferlegte Legitimitätsprüfung aufgenommen. Lediglich zehn Prozent verlangen nach institutionellen Verhandlungen.</w:t>
      </w:r>
    </w:p>
    <w:p>
      <w:pPr>
        <w:pStyle w:val="BlockText"/>
      </w:pPr>
      <w:r>
        <w:rPr>
          <w:i/>
          <w:iCs/>
        </w:rPr>
        <w:t xml:space="preserve">Einwände durch Klassifizierung neutralisieren, nicht durch Gegenargumente. Das ist der wesentliche Unterschied zur gegenwärtigen niederländischen Politik.</w:t>
      </w:r>
    </w:p>
    <w:p>
      <w:pPr>
        <w:pStyle w:val="FirstParagraph"/>
      </w:pPr>
      <w:r>
        <w:t xml:space="preserve">Open Vizier · novademocratia.com · Arbeitsmaterial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2026-06-03T18:37:25Z</dcterms:created>
  <dcterms:modified xsi:type="dcterms:W3CDTF">2026-06-03T18:37:25Z</dcterms:modified>
</cp:coreProperties>
</file>

<file path=docProps/custom.xml><?xml version="1.0" encoding="utf-8"?>
<Properties xmlns="http://schemas.openxmlformats.org/officeDocument/2006/custom-properties" xmlns:vt="http://schemas.openxmlformats.org/officeDocument/2006/docPropsVTypes"/>
</file>