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5796c8be6b338dff2bde4d57aeb7e2690ba6a7"/>
    <w:p>
      <w:pPr>
        <w:pStyle w:val="Heading2"/>
      </w:pPr>
      <w:r>
        <w:t xml:space="preserve">05 — Twenty contemporary objections, classified</w:t>
      </w:r>
    </w:p>
    <w:p>
      <w:pPr>
        <w:pStyle w:val="FirstParagraph"/>
      </w:pPr>
      <w:r>
        <w:rPr>
          <w:i/>
          <w:iCs/>
        </w:rPr>
        <w:t xml:space="preserve">The protocol from episode four, applied to twenty real Dutch points of criticism. What the classification reveals: the system becomes better through classified inertia.</w:t>
      </w:r>
    </w:p>
    <w:p>
      <w:pPr>
        <w:pStyle w:val="BodyText"/>
      </w:pPr>
      <w:r>
        <w:t xml:space="preserve">A classification protocol is only as valuable as its application. Below are twenty objections that currently circulate in the Netherlands regarding reforms comparable to Nova Democratia, tested against the decision tree from the previous episode. Each objection is assigned an order-stamp, a brief justification, and its subsequent treatment.</w:t>
      </w:r>
    </w:p>
    <w:p>
      <w:pPr>
        <w:pStyle w:val="BodyText"/>
      </w:pPr>
      <w:r>
        <w:rPr>
          <w:b/>
          <w:bCs/>
        </w:rPr>
        <w:t xml:space="preserve">The distribution at a glance</w:t>
      </w:r>
    </w:p>
    <w:p>
      <w:pPr>
        <w:pStyle w:val="BodyText"/>
      </w:pPr>
      <w:r>
        <w:rPr>
          <w:b/>
          <w:bCs/>
        </w:rPr>
        <w:t xml:space="preserve">A selection from the register</w:t>
      </w:r>
    </w:p>
    <w:p>
      <w:pPr>
        <w:pStyle w:val="BodyText"/>
      </w:pPr>
      <w:r>
        <w:rPr>
          <w:b/>
          <w:bCs/>
        </w:rPr>
        <w:t xml:space="preserve">What the classification demonstrates</w:t>
      </w:r>
    </w:p>
    <w:p>
      <w:pPr>
        <w:pStyle w:val="BodyText"/>
      </w:pPr>
      <w:r>
        <w:t xml:space="preserve">Forty-five per cent of all objections are third-order and lead to concrete design changes — EU exceptions on sunset, human rights protection, staggered scales for small municipalities, and stratified sortition. The system becomes better through classified inertia, not weaker.</w:t>
      </w:r>
    </w:p>
    <w:p>
      <w:pPr>
        <w:pStyle w:val="BodyText"/>
      </w:pPr>
      <w:r>
        <w:t xml:space="preserve">Thirty-five per cent are first-order and can be neutralised through consistent public classification without content-wise opposition. Ten per cent are fourth-order and are not refuted but rather incorporated as a self-imposed test of legitimacy. Only ten per cent require institutional negotiation.</w:t>
      </w:r>
    </w:p>
    <w:p>
      <w:pPr>
        <w:pStyle w:val="BlockText"/>
      </w:pPr>
      <w:r>
        <w:rPr>
          <w:i/>
          <w:iCs/>
        </w:rPr>
        <w:t xml:space="preserve">Neutralising objections through classification, rather than counter-arguments. This is the fundamental difference from current Dutch politics.</w:t>
      </w:r>
    </w:p>
    <w:p>
      <w:pPr>
        <w:pStyle w:val="FirstParagraph"/>
      </w:pPr>
      <w:r>
        <w:t xml:space="preserve">Het Open Vizier · novademocratia.com · Working material · Jacobus van Merksteijn · June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2026-06-03T18:37:27Z</dcterms:created>
  <dcterms:modified xsi:type="dcterms:W3CDTF">2026-06-03T18:37:27Z</dcterms:modified>
</cp:coreProperties>
</file>

<file path=docProps/custom.xml><?xml version="1.0" encoding="utf-8"?>
<Properties xmlns="http://schemas.openxmlformats.org/officeDocument/2006/custom-properties" xmlns:vt="http://schemas.openxmlformats.org/officeDocument/2006/docPropsVTypes"/>
</file>