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f7f0888517a3771b7e99c9f8876534c4e3ee3e"/>
    <w:p>
      <w:pPr>
        <w:pStyle w:val="Heading2"/>
      </w:pPr>
      <w:r>
        <w:t xml:space="preserve">08 — Где находится Ваша партия на игровом поле порядков?</w:t>
      </w:r>
    </w:p>
    <w:p>
      <w:pPr>
        <w:pStyle w:val="FirstParagraph"/>
      </w:pPr>
      <w:r>
        <w:rPr>
          <w:b/>
          <w:bCs/>
          <w:i/>
          <w:iCs/>
        </w:rPr>
        <w:t xml:space="preserve">Где находится Ваша партия на осях игрового поля: насколько глубоко их предложения проникают в саму конструкцию и кто желает пересмотреть саму основу?</w:t>
      </w:r>
    </w:p>
    <w:p>
      <w:pPr>
        <w:pStyle w:val="BodyText"/>
      </w:pPr>
      <w:r>
        <w:t xml:space="preserve">За что голосовать? Избиратель, стоявший в кабине для голосования в две тысячи двадцать пятом году, столкнулся с выбором между пятнадцатью партиями — но подлинные различия между ними стираются в пылу предвыборной кампании. Новый XY‐анализ помещает все партии одновременно на две оси, имеющие принципиальное значение для Nova Democratia, и результат оказывается столь же отрезвляющим, сколь и проясняющим.</w:t>
      </w:r>
    </w:p>
    <w:p>
      <w:pPr>
        <w:pStyle w:val="BodyText"/>
      </w:pPr>
      <w:r>
        <w:t xml:space="preserve">В анализе используются две независимые оси. Горизонтальная ось измеряет характер административных предложений, выдвигаемых партией. На левом краю находятся предложения первого порядка: инциденты, символы, политика в рамках существующих правил. На правом краю находятся предложения третьего порядка: вмешательства в саму несущую конструкцию — sunsetwetten, KPI‐управление, разделение властей два‐ноль. Вертикальная ось измеряет готовность к пересмотру структуры управления: внизу находятся партии, принимающие нынешнюю систему как данность, вверху — партии, желающие перестроить саму конструкцию: избирательную систему, суверенитет, конституцию.</w:t>
      </w:r>
    </w:p>
    <w:p>
      <w:pPr>
        <w:pStyle w:val="BodyText"/>
      </w:pPr>
      <w:r>
        <w:t xml:space="preserve">Nova Democratia на этом графике сознательно располагается далеко вверху справа. Это не случайность. Вся модель разработана для осуществления вмешательств третьего порядка на уровне конструкции. Тот, кто желает находиться в этом секторе, должен как минимум признать, что ни одна из существующих нидерландских партий не занимает эту нишу.</w:t>
      </w:r>
    </w:p>
    <w:p>
      <w:pPr>
        <w:pStyle w:val="BodyText"/>
      </w:pPr>
      <w:r>
        <w:rPr>
          <w:b/>
          <w:bCs/>
        </w:rPr>
        <w:t xml:space="preserve">Карта</w:t>
      </w:r>
    </w:p>
    <w:p>
      <w:pPr>
        <w:pStyle w:val="BodyText"/>
      </w:pPr>
      <w:r>
        <w:rPr>
          <w:b/>
          <w:bCs/>
        </w:rPr>
        <w:t xml:space="preserve">Четыре квадранта, четыре типа партий</w:t>
      </w:r>
    </w:p>
    <w:p>
      <w:pPr>
        <w:pStyle w:val="BodyText"/>
      </w:pPr>
      <w:r>
        <w:rPr>
          <w:b/>
          <w:bCs/>
        </w:rPr>
        <w:t xml:space="preserve">Слева внизу — Политика инцидентов внутри системы</w:t>
      </w:r>
    </w:p>
    <w:p>
      <w:pPr>
        <w:pStyle w:val="BodyText"/>
      </w:pPr>
      <w:r>
        <w:t xml:space="preserve">Здесь Вы найдете основную массу нидерландской политики: VVD, CDA, GroenLinks‐PvdA, ChristenUnie, SGP, PvdD, DENK, JA21. Они проводят политику изменений курса в рамках существующей конструкции. Другая налоговая ставка, другое соглашение о здравоохранении, другой план жилищного строительства. То, что их объединяет — это негласное предположение, что сама система в порядке. Их различия реальны, но они лежат на уровне содержательного выбора, а не на уровне конструкции. VVD, к примеру, хочет ввести избирательный порог в два процента, но при этом явно сохраняет саму избирательную систему. GroenLinks‐PvdA, ChristenUnie и Partij voor de Dieren прямо заявляют, что хотят сохранить нынешнюю избирательную систему.</w:t>
      </w:r>
    </w:p>
    <w:p>
      <w:pPr>
        <w:pStyle w:val="BodyText"/>
      </w:pPr>
      <w:r>
        <w:rPr>
          <w:b/>
          <w:bCs/>
        </w:rPr>
        <w:t xml:space="preserve">Справа внизу — Институциональное совершенствование</w:t>
      </w:r>
    </w:p>
    <w:p>
      <w:pPr>
        <w:pStyle w:val="BodyText"/>
      </w:pPr>
      <w:r>
        <w:t xml:space="preserve">Здесь располагаются D66, NSC и Volt. Эти партии мыслят более структурно, чем основная масса: D66 со своим традиционным вниманием к государственно-правовому обновлению, NSC с её фокусом на культуре управления и качестве исполнения, Volt с её европейской институциональной повесткой. Но они хотят совершенствовать конструкцию, а не заменять её. NSC, к примеру, хочет ввести смешанную региональную избирательную систему, но в рамках существующих конституционных границ. В две тысячи двадцать третьем году D66 говорила о государственно-правовом обновлении, но с тех пор лишь ограниченно конкретизировала это. Эти партии находятся ближе к Nova Democratia, чем основная масса, но всё же за пределами того квадранта, где происходит подлинный пересмотр.</w:t>
      </w:r>
    </w:p>
    <w:p>
      <w:pPr>
        <w:pStyle w:val="BodyText"/>
      </w:pPr>
      <w:r>
        <w:rPr>
          <w:b/>
          <w:bCs/>
        </w:rPr>
        <w:t xml:space="preserve">Слева вверху — Символическая реформа</w:t>
      </w:r>
    </w:p>
    <w:p>
      <w:pPr>
        <w:pStyle w:val="BodyText"/>
      </w:pPr>
      <w:r>
        <w:t xml:space="preserve">Здесь находятся PVV, FVD и, в меньшей степени, SP. Эти партии действительно хотят взяться за конструкцию — PVV и FVD с предложениями о суверенитете в противовес Brussel, FVD к тому же с курсом на Nexit и обязательным корректирующим референдумом, SP также как исторический сторонник референдума. Но их предложения в реализации часто остаются символическими, а не конструктивными. Обязательный референдум анонсируется, но не прорабатывается. Nexit провозглашается, но не просчитывается поэтапно. Это намерения на уровне конструкции, переведенные на язык первого порядка. Это объясняет их позицию вверху слева.</w:t>
      </w:r>
    </w:p>
    <w:p>
      <w:pPr>
        <w:pStyle w:val="BodyText"/>
      </w:pPr>
      <w:r>
        <w:rPr>
          <w:b/>
          <w:bCs/>
        </w:rPr>
        <w:t xml:space="preserve">Справа вверху — Структурный пересмотр</w:t>
      </w:r>
    </w:p>
    <w:p>
      <w:pPr>
        <w:pStyle w:val="BodyText"/>
      </w:pPr>
      <w:r>
        <w:t xml:space="preserve">Квадрант, к которому принадлежит Nova Democratia. Единственная существующая партия, осторожно движущаяся в этом направлении — это BBB. Не из-за её содержательных позиций, а из-за её институциональных предложений: глубокая децентрализация с конституционным пересмотром, национальное правительство, делящее суверенитет с провинциями, передача важных политических задач обратно муниципалитетам и провинциям. Это конструкционное мышление — даже если оно упаковано в язык BBB. Это объясняет, почему BBB является единственной существующей партией, попадающей в верхний правый квадрант.</w:t>
      </w:r>
    </w:p>
    <w:p>
      <w:pPr>
        <w:pStyle w:val="BlockText"/>
      </w:pPr>
      <w:r>
        <w:rPr>
          <w:i/>
          <w:iCs/>
        </w:rPr>
        <w:t xml:space="preserve">Ни одна нидерландская партия не стоит там, где стоит Nova Democratia. Ни слева, ни справа, ни в центре.</w:t>
      </w:r>
    </w:p>
    <w:p>
      <w:pPr>
        <w:pStyle w:val="FirstParagraph"/>
      </w:pPr>
      <w:r>
        <w:rPr>
          <w:b/>
          <w:bCs/>
        </w:rPr>
        <w:t xml:space="preserve">Центр тяжести и дистанция до Nova Democratia</w:t>
      </w:r>
    </w:p>
    <w:p>
      <w:pPr>
        <w:pStyle w:val="BodyText"/>
      </w:pPr>
      <w:r>
        <w:t xml:space="preserve">Красная пунктирная линия на графике отмечает центр тяжести Tweede Kamer, взвешенный по количеству мест. Этот центр тяжести находится глубоко в нижнем левом квадранте. Не потому, что отдельные партии экстремальны, а потому, что электоральный вес в подавляющей степени принадлежит партиям, оперирующим внутри существующей системы. D66 (двадцать шесть мест), PVV (двадцать шесть мест), VVD (двадцать два места) и GroenLinks‐PvdA (двадцать мест) вместе составляют более половины Палаты, и все они располагаются в нижнем левом квадранте или чуть выше него.</w:t>
      </w:r>
    </w:p>
    <w:p>
      <w:pPr>
        <w:pStyle w:val="BodyText"/>
      </w:pPr>
      <w:r>
        <w:t xml:space="preserve">Стрелка от этого центра тяжести к Nova Democratia указывает направление перехода. Это сознательно длинная стрелка. Дистанция огромна, и именно поэтому необходим медийный рычаг из третьего выпуска этой серии. Без публичного распространения мышления о порядках вся правая половина графика останется для большинства избирателей неизученной территорией.</w:t>
      </w:r>
    </w:p>
    <w:p>
      <w:pPr>
        <w:pStyle w:val="BodyText"/>
      </w:pPr>
      <w:r>
        <w:rPr>
          <w:b/>
          <w:bCs/>
        </w:rPr>
        <w:t xml:space="preserve">Что объясняет анализ Парето</w:t>
      </w:r>
    </w:p>
    <w:p>
      <w:pPr>
        <w:pStyle w:val="BodyText"/>
      </w:pPr>
      <w:r>
        <w:t xml:space="preserve">Карта партий подтверждает в цифрах то, что уже показал анализ Парето из третьего выпуска. Действующие политические партии вместе набирают одна тысяча четыреста пятьдесят восемь баллов тормозного веса — не потому, что они сильны, а потому, что они совместно обладают монополией на язык первого порядка в аудитории первого порядка. Карта показывает, где эта монополия географически сосредоточена: слева внизу, где шесть партий вместе занимают более девяноста мест.</w:t>
      </w:r>
    </w:p>
    <w:p>
      <w:pPr>
        <w:pStyle w:val="BodyText"/>
      </w:pPr>
      <w:r>
        <w:t xml:space="preserve">В то же время карта объясняет, почему ни одна существующая коалиция из нынешних партий не может нести на себе Nova Democratia. Коалиция, например, из D66, NSC и BBB содержательно подошла бы ближе к правой половине, но даже тогда центр тяжести остался бы ниже Nova Democratia. Это не тактическая проблема, это проектный сигнал. Электорат должен сначала научиться обитать в правой половине графика, прежде чем партия сможет двигаться в ту сторону без потери мест.</w:t>
      </w:r>
    </w:p>
    <w:p>
      <w:pPr>
        <w:pStyle w:val="BodyText"/>
      </w:pPr>
      <w:r>
        <w:rPr>
          <w:b/>
          <w:bCs/>
        </w:rPr>
        <w:t xml:space="preserve">Три важных наблюдения</w:t>
      </w:r>
    </w:p>
    <w:p>
      <w:pPr>
        <w:pStyle w:val="BodyText"/>
      </w:pPr>
      <w:r>
        <w:t xml:space="preserve">Во‐первых: верхняя часть графика заселена слабо. Только четыре партии — PVV, FVD, BBB и в меньшей степени SP — набирают баллы выше середины по шкале пересмотра конструкции. Вместе это сорок одно место, более четверти Tweede Kamer. Это немало, но эти партии рассредоточены по двум квадрантам и имеют сильно различающееся содержание. Работоспособной коалиции реформаторов конструкции не существует.</w:t>
      </w:r>
    </w:p>
    <w:p>
      <w:pPr>
        <w:pStyle w:val="BodyText"/>
      </w:pPr>
      <w:r>
        <w:t xml:space="preserve">Во‐вторых: правая сторона графика занята партиями с небольшим количеством мест. D66, NSC, Volt и BBB вместе набирают тридцать восемь мест, из которых двадцать шесть приходятся на одну только D66. Тот, кто ищет мышление третьего порядка в нидерландской политике, находит его преимущественно в средних и малых фракциях. Крупные партии левого нижнего угла — VVD, GroenLinks‐PvdA, PVV — сильно тянут центр тяжести в левый нижний угол.</w:t>
      </w:r>
    </w:p>
    <w:p>
      <w:pPr>
        <w:pStyle w:val="BodyText"/>
      </w:pPr>
      <w:r>
        <w:t xml:space="preserve">В‐третьих, и это наиболее актуально для Nova Democratia: сам правый верхний квадрант в качестве существующего присутствия включает лишь BBB с семью местами. Территория, которую занимает Nova Democratia, электорально практически пуста. Это не препятствие. Это возможность — при условии, что публика узнает о существовании этого квадранта. Третий выпуск этой серии не зря называется «Медиа как тензодатчик».</w:t>
      </w:r>
    </w:p>
    <w:p>
      <w:pPr>
        <w:pStyle w:val="BlockText"/>
      </w:pPr>
      <w:r>
        <w:rPr>
          <w:i/>
          <w:iCs/>
        </w:rPr>
        <w:t xml:space="preserve">График показывает, где предстоит работа. Не на стороне содержания, а на стороне квадранта.</w:t>
      </w:r>
    </w:p>
    <w:p>
      <w:pPr>
        <w:pStyle w:val="FirstParagraph"/>
      </w:pPr>
      <w:r>
        <w:rPr>
          <w:b/>
          <w:bCs/>
        </w:rPr>
        <w:t xml:space="preserve">Взгляд в будущее</w:t>
      </w:r>
    </w:p>
    <w:p>
      <w:pPr>
        <w:pStyle w:val="BodyText"/>
      </w:pPr>
      <w:r>
        <w:t xml:space="preserve">Карта построена. Чего не хватает, так это взвешенного Парето самого поведения партий: насколько сильно каждая партия сопротивляется, на каком этапе и против какой конкретной меры Nova Democratia. Этот анализ — партия за партией, этап за этапом — требует такой же тройной оценки, которую получил Brussel в нулевом выпуске: интенсивность, рычаг власти, выносливость. Это логичный следующий шаг.</w:t>
      </w:r>
    </w:p>
    <w:p>
      <w:pPr>
        <w:pStyle w:val="BodyText"/>
      </w:pPr>
      <w:r>
        <w:t xml:space="preserve">То, что уже показывает нынешняя карта: центр тяжести — это не враг, а расстояние. Инженерная задача, а не идеологический конфликт. А инженерные задачи имеют инженерные решения: измерение, поэтапность, классификация, повторение. Это именно то, ради чего существует Nova Democratia.</w:t>
      </w:r>
    </w:p>
    <w:p>
      <w:pPr>
        <w:pStyle w:val="BodyText"/>
      </w:pPr>
      <w:r>
        <w:t xml:space="preserve">Het Open Vizier · novademocratia.com · Рабочие материалы · Jacobus van Merksteijn · Июнь 2026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2026-06-03T18:37:29Z</dcterms:created>
  <dcterms:modified xsi:type="dcterms:W3CDTF">2026-06-03T18:37:29Z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