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da2d2d4f30eaacdfd6bc7bca366ac3b756dea7"/>
    <w:p>
      <w:pPr>
        <w:pStyle w:val="Heading2"/>
      </w:pPr>
      <w:r>
        <w:t xml:space="preserve">09 — Кто сопротивляется, кто содействует?</w:t>
      </w:r>
      <w:r>
        <w:t xml:space="preserve">Не только фракции Tweede Kamer имеют значение. Профсоюзы и объединения работодателей в равной степени определяют, какой этап осуществим — и на каком этапе Nova Democratia найдет естественных союзников.</w:t>
      </w:r>
      <w:r>
        <w:rPr>
          <w:i/>
          <w:iCs/>
        </w:rPr>
        <w:t xml:space="preserve">-анализ из третьего выпуска рассматривал инерцию как список отдельных блоков: Brussel, профсоюзы, партии, высшее чиновничество. Это полезно для стратегии, но неполно. Не хватало второй колонки: союзников. Кто помогает — и на каком этапе? Только когда обе колонки стоят рядом, возникает подлинное поле сил.</w:t>
      </w:r>
      <w:r>
        <w:rPr>
          <w:i/>
          <w:iCs/>
        </w:rPr>
        <w:t xml:space="preserve">этом выпуске мы наносим двадцать шесть акторов на шесть фаз Nova Democratia. Пятнадцать фракций Tweede Kamer, шесть профсоюзов и зонтичных организаций, а также пять объединений работодателей — включая предложенный в этой газете UEI, европейскую противодействующую силу из Швейцарии. Каждая ячейка получает оценку от минус десяти до плюс десяти. Красный цвет означает сопротивление. Зеленый — поддержку. Полоса справа показывает общий баланс: как актор соотносится с Nova Democratia на всех фазах.</w:t>
      </w:r>
      <w:r>
        <w:t xml:space="preserve">Три блока сил, три истории**</w:t>
      </w:r>
      <w:r>
        <w:t xml:space="preserve">*Фракции — рассредоточенное сопротивление, высокий средний показатель**</w:t>
      </w:r>
      <w:r>
        <w:t xml:space="preserve">фракций Tweede Kamer вместе образуют самый сильный блок сопротивления. Ни одна фракция не получает на каком-либо этапе оценку ниже плюс двух. Самыми крупными звеньями инерции являются GL-PvdA (+42) и SP (+38), с оценками плюс девять на второй фазе (Balkenende-norm и KPI) и плюс восемь на пятой фазе (образование по результатам). На этих двух этапах Nova Democratia задевает нерв левых фракций: измерение управленческой эффективности и измерение результатов образования. Для партий, чей политический биотоп основан на процессуальном перераспределении, измерение, ориентированное на результат, является структурно неприятным.</w:t>
      </w:r>
      <w:r>
        <w:t xml:space="preserve">крыло — PVV, JA21, BBB, FVD — имеет более умеренные показатели, от плюс двадцати до плюс двадцати восьми. Здесь тоже есть сопротивление, но менее концентрированное. Примечательно, что ни одна из действующих фракций не дает зеленых ячеек. Действующая политика как блок, таким образом, представляет собой стену: все пятнадцать фракций оказывают давление, с разной силой, но в одном направлении.</w:t>
      </w:r>
      <w:r>
        <w:t xml:space="preserve">*Профсоюзы — концентрированное сопротивление на ключевых этапах**</w:t>
      </w:r>
      <w:r>
        <w:t xml:space="preserve">профсоюзов и зонтичных организаций более разнообразны, чем фракции. FNV (общий), FNV Overheid и CNV на второй фазе (Balkenende-norm) показывают блок в плюс тридцать: для профсоюзов государственного сектора измерение эффективности высшего руководства является прямой угрозой их лоббистским позициям. На пятой фазе (образование по результатам) профсоюз учителей (AOb) и вовсе поднимает планку до плюс десяти — максимальный балл сопротивления. Это не просто мнение; это механический результат структуры измерения, которую Nova Democratia накладывает на систему.</w:t>
      </w:r>
      <w:r>
        <w:t xml:space="preserve">(журналисты) — особый случай: плюс десять на первой фазе (дашборд и статья 32), но умеренные оценки в других местах. Дашборд, который делает управленческую деятельность публично измеримой, подрывает фильтрующую роль журналистики как единственного промежуточного голоса между властью и гражданином. Этот балл является прямым отражением того, как это влияет на естественное положение прессы.</w:t>
      </w:r>
      <w:r>
        <w:t xml:space="preserve">*Компании — союзники, которые еще не знали, что они ими являются**</w:t>
      </w:r>
      <w:r>
        <w:t xml:space="preserve">сюрприз кроется в тепловой карте. Четыре из пяти объединений работодателей — VNO-NCW, MKB-Nederland, BusinessEurope, BRT — в среднем имеют минус двадцать: противовес Nova Democratia вместо блокировки. Не без исключений — есть несколько красных ячеек, где компаниям не нравятся специфические нормы регулирования — но преобладающий паттерн зеленый. На второй фазе (управление по KPI), четвертой фазе (sunsetwetten) и пятой фазе (образование по результатам) объединения работодателей вместе дают минус девяносто баллов. Это нейтрализует почти два FNV.</w:t>
      </w:r>
      <w:r>
        <w:t xml:space="preserve">&gt;</w:t>
      </w:r>
      <w:r>
        <w:t xml:space="preserve"> </w:t>
      </w:r>
      <w:r>
        <w:rPr>
          <w:i/>
          <w:iCs/>
        </w:rPr>
        <w:t xml:space="preserve">Три объединения работодателей обеспечивают противовес в минус семьдесят два балла — нейтрализуя почти два FNV.</w:t>
      </w:r>
      <w:r>
        <w:t xml:space="preserve">— предложенный в десятом выпуске европейский институт бизнеса — набирает минус двадцать пять, что сильнее, чем VNO-NCW. Этот результат вытекает из его специфической конструкции: UEI сознательно ориентирован на нулевую фазу (Brussel), фазу, где ни один существующий нидерландский актор не оказывает структурного противодействия.</w:t>
      </w:r>
      <w:r>
        <w:t xml:space="preserve">*Что говорит карта для стратегии**</w:t>
      </w:r>
      <w:r>
        <w:t xml:space="preserve">карта читается как оперативная карта. Не все акторы движутся одновременно. Из распределения цветов логически следуют три вывода.</w:t>
      </w:r>
      <w:r>
        <w:t xml:space="preserve">: существующая партийная демократия — это стена. Ни одна из действующих фракций не поддерживает Nova Democratia в её нынешнем виде. Это означает, что переход должен подготавливаться вне существующей партийной структуры — не как антиполитика, а как методическое признание того, что показывают измерения.</w:t>
      </w:r>
      <w:r>
        <w:t xml:space="preserve">: профсоюзы и компании являются естественной компенсацией друг друга. Там, где профсоюзы дают плюс тридцать на второй фазе, компании дают минус пятнадцать. Пакетное соглашение с работодателями против профсоюзов — как предлагает двенадцатый выпуск — это не идеологический выбор, а механический результат соотношения сил.</w:t>
      </w:r>
      <w:r>
        <w:t xml:space="preserve">: UEI заполняет пробел, который не закрывает ни один из существующих акторов. На нулевой фазе (Brussel) UEI стоит особняком с минус восемью — ни одна нидерландская фракция, ни один нидерландский профсоюз и даже ни одно нидерландское объединение работодателей не имеют отрицательного балла на этой фазе. Именно поэтому европейский институт бизнеса необходим институционально. Ни одно государство-член не может в одиночку изменить курс Brussel; голос бизнеса, сформированный по модели Bondsraad, мог бы это сделать.</w:t>
      </w:r>
      <w:r>
        <w:t xml:space="preserve">*Позиция Парето для Nova Democratia на карте**</w:t>
      </w:r>
      <w:r>
        <w:t xml:space="preserve">общего баланса справа резюмируют карту. Самое сильное сопротивление исходит от фракции GL-PvdA (+42), FNV (+34), FNV Overheid (+34) и SP (+38). Самая сильная поддержка исходит от UEI (-25), VNO-NCW (-24) и MKB-Nederland (-23). Шесть фракций Tweede Kamer с самыми низкими показателями сопротивления — NSC (+20), BBB (+21), PVV (+24), D66 (+25), FVD (+26), JA21 (+28) — вместе образуют политический базис, где Nova Democratia могла бы пройти первое чтение благодаря содержательной части. Это не большинство, но это поле для диалога.</w:t>
      </w:r>
      <w:r>
        <w:t xml:space="preserve">карта — это снимок состояния на июнь 2026. Тот, кто обновляет её каждые шесть месяцев — на основе реального поведения при голосовании и забастовках — автоматически выстраивает актуальную оперативную картину. Это то, что данная газета подразумевает под «Парето как компас»: не разовое измерение, а постоянно обновляемый инструмент, с помощью которого становятся возможными стратегические маневры.</w:t>
      </w:r>
      <w:r>
        <w:t xml:space="preserve">предостережение к этой карте. Девять акторов знаний — университеты, плановые бюро, консультативные советы, исследовательские институты — которые включены в четвертый блок внизу, не входили в предыдущую версию этого анализа. Их позиционирование будет более подробно проработано в одиннадцатом выпуске («Слой знаний как союзник»), где станет очевидно, что самая мощная методическая противодействующая сила нидерландскому компромиссному управлению исходит не из политики, а из институтов, которые уже пятнадцать лет измеряют продуктивность правительства.</w:t>
      </w:r>
      <w:r>
        <w:t xml:space="preserve">Open Vizier · novademocratia.com · Рабочие материалы · Jacobus van Merksteijn · Июнь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2026-06-03T18:37:29Z</dcterms:created>
  <dcterms:modified xsi:type="dcterms:W3CDTF">2026-06-03T18:37:29Z</dcterms:modified>
</cp:coreProperties>
</file>

<file path=docProps/custom.xml><?xml version="1.0" encoding="utf-8"?>
<Properties xmlns="http://schemas.openxmlformats.org/officeDocument/2006/custom-properties" xmlns:vt="http://schemas.openxmlformats.org/officeDocument/2006/docPropsVTypes"/>
</file>