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ei-европейский-противовес-из-швейцарии"/>
    <w:p>
      <w:pPr>
        <w:pStyle w:val="Heading2"/>
      </w:pPr>
      <w:r>
        <w:t xml:space="preserve">10 — UEI — европейский противовес из Швейцарии</w:t>
      </w:r>
    </w:p>
    <w:p>
      <w:pPr>
        <w:pStyle w:val="FirstParagraph"/>
      </w:pPr>
      <w:r>
        <w:rPr>
          <w:i/>
          <w:iCs/>
        </w:rPr>
        <w:t xml:space="preserve">Конфигурация «Объединённые европейские индустрии» (United European Industries Configuration), базирующаяся на швейцарской земле, объединяет европейский бизнес против избыточного регулирования со стороны Брюсселя. Прецедент существует. Чего не хватает, так это суверенных амбиций.</w:t>
      </w:r>
    </w:p>
    <w:p>
      <w:pPr>
        <w:pStyle w:val="BodyText"/>
      </w:pPr>
      <w:r>
        <w:t xml:space="preserve">В нулевом выпуске был сделан вывод о том, что Брюссель — это переменная, а не константа. Однако одно государство-член, каким бы решительным оно ни было, является слишком слабым рычагом воздействия на договорную систему из двадцати семи стран. Чего не хватает в европейском поле сил, так это организованного противовеса, который зависел бы не от государства-члена, а от самого делового сообщества. Конфигурация United European Industries Configuration, в этой газете именуемая кратко UEI, может выполнить эту роль — при условии, что она будет учреждена за пределами юрисдикции ЕС. Швейцария в этом отношении представляется очевидным выбором.</w:t>
      </w:r>
    </w:p>
    <w:p>
      <w:pPr>
        <w:pStyle w:val="BodyText"/>
      </w:pPr>
      <w:r>
        <w:rPr>
          <w:b/>
          <w:bCs/>
        </w:rPr>
        <w:t xml:space="preserve">Что уже существует — и почему этого недостаточно</w:t>
      </w:r>
    </w:p>
    <w:p>
      <w:pPr>
        <w:pStyle w:val="BodyText"/>
      </w:pPr>
      <w:r>
        <w:t xml:space="preserve">Брюсселю известны две признанные бизнес-организации. BusinessEurope представляет через сорок две национальные федерации двадцать миллионов компаний из тридцати шести стран и признана официальным европейским социальным партнером. European Round Table for Industry (ERT), основанная в тысяча девятьсот восемьдесят восьмом году, объединяет сорок пять промышленных лидеров и описывается комментаторами как «движущая сила европейского единого рынка». Бывший председатель Комиссии Жак Делор публично признавал, что именно ERT была катализатором процесса.</w:t>
      </w:r>
    </w:p>
    <w:p>
      <w:pPr>
        <w:pStyle w:val="BodyText"/>
      </w:pPr>
      <w:r>
        <w:t xml:space="preserve">Эти две организации доказывают, что бизнес может направлять Брюссель — это не утопия. Однако их повестка дня неизменна: снижение налогов, уменьшение регулирования, улучшение конкурентоспособности, свободное перемещение товаров и капитала. Суверенитет государств-членов как самостоятельная цель в их публикациях не фигурирует. Климатическая политика смягчается, а не возвращается в ведение национальных парламентов. Они являются лоббистами внутри брюссельской системы, а не её архитекторами.</w:t>
      </w:r>
    </w:p>
    <w:p>
      <w:pPr>
        <w:pStyle w:val="BodyText"/>
      </w:pPr>
      <w:r>
        <w:t xml:space="preserve">UEI призвана внести это коренное отличие. Не смягчение политики в рамках существующей структуры, а институциональный сдвиг власти обратно к государствам-членам и компаниям. Не лоббирование в кулуарах Комиссии, а публичная классификация порядков брюссельских предложений — согласно тому же протоколу, который применяется внутри страны в Нидерландах в рамках Nova Democratia.</w:t>
      </w:r>
    </w:p>
    <w:p>
      <w:pPr>
        <w:pStyle w:val="BlockText"/>
      </w:pPr>
      <w:r>
        <w:rPr>
          <w:i/>
          <w:iCs/>
        </w:rPr>
        <w:t xml:space="preserve">BusinessEurope и ERT занимаются лоббированием внутри брюссельской системы. UEI поставила бы под сомнение саму эту систему.</w:t>
      </w:r>
    </w:p>
    <w:p>
      <w:pPr>
        <w:pStyle w:val="FirstParagraph"/>
      </w:pPr>
      <w:r>
        <w:rPr>
          <w:b/>
          <w:bCs/>
        </w:rPr>
        <w:t xml:space="preserve">Почему Швейцария</w:t>
      </w:r>
    </w:p>
    <w:p>
      <w:pPr>
        <w:pStyle w:val="BodyText"/>
      </w:pPr>
      <w:r>
        <w:t xml:space="preserve">Четыре причины, в порядке их значимости. Во-первых: Швейцария находится вне юрисдикции ЕС. UEI может работать без угрозы процедур со стороны Комиссии или арбитражной привязки к праву ЕС. То, что в Брюсселе или Гааге представляло бы собой институциональный риск, в Цюрихе или Берне является обычным делом.</w:t>
      </w:r>
    </w:p>
    <w:p>
      <w:pPr>
        <w:pStyle w:val="BodyText"/>
      </w:pPr>
      <w:r>
        <w:t xml:space="preserve">Во-вторых: Швейцария в апреле двадцать шестого года, заключив соглашение Bilateralen-III-akkoord, публично доказала, что может заставить Брюссель пойти на процедурные изменения. Деятельность UEI, базирующейся на этой почве, институционально опирается на живой прецедент.</w:t>
      </w:r>
    </w:p>
    <w:p>
      <w:pPr>
        <w:pStyle w:val="BodyText"/>
      </w:pPr>
      <w:r>
        <w:t xml:space="preserve">В-третьих: швейцарская юридическая форма Verein — некоммерческая ассоциация — обеспечивает UEI ту же гибкость, с которой были созданы такие международные институты, как ФИФА, Международный олимпийский комитет и Международный комитет Красного Креста. Никакого надзора со стороны институтов Брюсселя, никакого давления акционеров, никакого обязательства по публикации списков членов.</w:t>
      </w:r>
    </w:p>
    <w:p>
      <w:pPr>
        <w:pStyle w:val="BodyText"/>
      </w:pPr>
      <w:r>
        <w:t xml:space="preserve">В-четвёртых: Швейцария обладает самыми высокими доходами в Европе, сильными позициями в секторе финансовых и юридических услуг, а также традицией нейтралитета, обеспечивающей международное доверие. Исследовательский штаб и юридический отдел UEI найдут здесь лучших специалистов Европы, при этом потолок зарплат, установленный в Брюсселе или государстве-члене, не будет служить препятствием.</w:t>
      </w:r>
    </w:p>
    <w:p>
      <w:pPr>
        <w:pStyle w:val="BodyText"/>
      </w:pPr>
      <w:r>
        <w:rPr>
          <w:b/>
          <w:bCs/>
        </w:rPr>
        <w:t xml:space="preserve">Чем занимается UEI</w:t>
      </w:r>
    </w:p>
    <w:p>
      <w:pPr>
        <w:pStyle w:val="BodyText"/>
      </w:pPr>
      <w:r>
        <w:t xml:space="preserve">Пять функций, в порядке их срочности.</w:t>
      </w:r>
    </w:p>
    <w:p>
      <w:pPr>
        <w:numPr>
          <w:ilvl w:val="0"/>
          <w:numId w:val="1001"/>
        </w:numPr>
      </w:pPr>
      <w:r>
        <w:rPr>
          <w:b/>
          <w:bCs/>
        </w:rPr>
        <w:t xml:space="preserve">Классификация порядков регулирования ЕС.</w:t>
      </w:r>
      <w:r>
        <w:t xml:space="preserve"> </w:t>
      </w:r>
      <w:r>
        <w:t xml:space="preserve">Каждая новая директива ЕС (EU-richtlijnen), каждый новый регламент в течение трех месяцев получают публичную оценку классификации согласно методу порядков из четвертого выпуска. Первый порядок, второй порядок, третий порядок или четвертый порядок. Для членов организации далее следует однозначная рекомендация: внедрять, оценивать, отклонять или проверять.</w:t>
      </w:r>
    </w:p>
    <w:p>
      <w:pPr>
        <w:numPr>
          <w:ilvl w:val="0"/>
          <w:numId w:val="1001"/>
        </w:numPr>
      </w:pPr>
      <w:r>
        <w:rPr>
          <w:b/>
          <w:bCs/>
        </w:rPr>
        <w:t xml:space="preserve">Центральный реестр соответствия.</w:t>
      </w:r>
      <w:r>
        <w:t xml:space="preserve"> </w:t>
      </w:r>
      <w:r>
        <w:t xml:space="preserve">Компании, следующие рекомендациям UEI, получают общую защитную позицию в случае инициирования брюссельских процедур. Штраф Брюсселя против одной компании превращается в разбирательство против всего кластера UEI. Это значительно повышает ставки для Комиссии.</w:t>
      </w:r>
    </w:p>
    <w:p>
      <w:pPr>
        <w:numPr>
          <w:ilvl w:val="0"/>
          <w:numId w:val="1001"/>
        </w:numPr>
      </w:pPr>
      <w:r>
        <w:rPr>
          <w:b/>
          <w:bCs/>
        </w:rPr>
        <w:t xml:space="preserve">Собственная юридическая служба.</w:t>
      </w:r>
      <w:r>
        <w:t xml:space="preserve"> </w:t>
      </w:r>
      <w:r>
        <w:t xml:space="preserve">Специализирующаяся на защите суверенитета, а не на лоббировании. Команда ведет разбирательства о границах компетенции ЕС, а не о содержании отдельных правил. Швейцарский прецедент, касающийся арбитража вместо решений Суда ЕС, служит здесь юридической основой.</w:t>
      </w:r>
    </w:p>
    <w:p>
      <w:pPr>
        <w:numPr>
          <w:ilvl w:val="0"/>
          <w:numId w:val="1001"/>
        </w:numPr>
      </w:pPr>
      <w:r>
        <w:rPr>
          <w:b/>
          <w:bCs/>
        </w:rPr>
        <w:t xml:space="preserve">Публикации и медиа.</w:t>
      </w:r>
      <w:r>
        <w:t xml:space="preserve"> </w:t>
      </w:r>
      <w:r>
        <w:t xml:space="preserve">Еженедельные публичные анализы предложений ЕС, доступные на всех языках ЕС, ориентированные на национальные парламенты и общественное мнение. Не для лоббистов в Брюсселе, а для демократических институтов в государствах-членах. Это принципиальное отличие от нынешней практики ERT.</w:t>
      </w:r>
    </w:p>
    <w:p>
      <w:pPr>
        <w:numPr>
          <w:ilvl w:val="0"/>
          <w:numId w:val="1001"/>
        </w:numPr>
      </w:pPr>
      <w:r>
        <w:rPr>
          <w:b/>
          <w:bCs/>
        </w:rPr>
        <w:t xml:space="preserve">Программа исследований.</w:t>
      </w:r>
      <w:r>
        <w:t xml:space="preserve"> </w:t>
      </w:r>
      <w:r>
        <w:t xml:space="preserve">Ежегодные исследования экономических, социальных и административных последствий регулирования ЕС, включая контрфактические сценарии. Не антиевропейский памфлет, а твердое цифровое обоснование того, где Брюссель приносит добавленную стоимость, а где — нет.</w:t>
      </w:r>
    </w:p>
    <w:p>
      <w:pPr>
        <w:pStyle w:val="FirstParagraph"/>
      </w:pPr>
      <w:r>
        <w:rPr>
          <w:b/>
          <w:bCs/>
        </w:rPr>
        <w:t xml:space="preserve">Членство и финансирование</w:t>
      </w:r>
    </w:p>
    <w:p>
      <w:pPr>
        <w:pStyle w:val="BodyText"/>
      </w:pPr>
      <w:r>
        <w:t xml:space="preserve">Членство открыто для компаний из всех европейских стран, государств-членов ЕС и стран, не входящих в союз. Взносы распределяются в зависимости от оборота, при этом установлен минимум, дающий доступ и средним компаниям. Никакой исключительности для крупной промышленности, как в случае с ERT — это сделало бы UEI институционально уязвимой для упреков в элитарности.</w:t>
      </w:r>
    </w:p>
    <w:p>
      <w:pPr>
        <w:pStyle w:val="BodyText"/>
      </w:pPr>
      <w:r>
        <w:t xml:space="preserve">Финансирование следует существующей модели BusinessEurope: взносы членов, отсутствие государственных субсидий, отсутствие денег Комиссии. Независимость от Брюсселя институционально закреплена структурой финансирования.</w:t>
      </w:r>
    </w:p>
    <w:p>
      <w:pPr>
        <w:pStyle w:val="BodyText"/>
      </w:pPr>
      <w:r>
        <w:rPr>
          <w:b/>
          <w:bCs/>
        </w:rPr>
        <w:t xml:space="preserve">Позиция UEI по Парето</w:t>
      </w:r>
    </w:p>
    <w:p>
      <w:pPr>
        <w:pStyle w:val="BodyText"/>
      </w:pPr>
      <w:r>
        <w:t xml:space="preserve">На тепловой карте из предыдущего выпуска UEI является единственным актором, имеющим минус восемь баллов на этапе ноль. Это означает: активное противодействие Брюсселю, а не только поддержка Nova Democratia. Ни одна существующая голландская партия, ни один существующий профсоюз и даже ни одно существующее объединение компаний не имеют отрицательного балла на этом этапе. UEI заполняет пустоту в европейском поле сил, которую не может восполнить ни один другой актор.</w:t>
      </w:r>
    </w:p>
    <w:p>
      <w:pPr>
        <w:pStyle w:val="BodyText"/>
      </w:pPr>
      <w:r>
        <w:t xml:space="preserve">Общий баланс UEI составляет минус двадцать пять — сильнее, чем у VNO-NCW и MKB-Nederland. Это не случайно. UEI спроектирована именно для тех этапов, где Nova Democratia ожидает наибольшего встречного ветра. Классификация Брюсселя (этап ноль), управление через KPI (этап два) и законы о «закате» (sunsetwetten, этап четыре) — все это области, в которых у бизнеса есть естественные интересы, идущие параллельно с замыслом Nova Democratia.</w:t>
      </w:r>
    </w:p>
    <w:p>
      <w:pPr>
        <w:pStyle w:val="BlockText"/>
      </w:pPr>
      <w:r>
        <w:rPr>
          <w:i/>
          <w:iCs/>
        </w:rPr>
        <w:t xml:space="preserve">UEI заполняет пустоту в европейском поле сил, которую не может восполнить ни один другой актор.</w:t>
      </w:r>
    </w:p>
    <w:p>
      <w:pPr>
        <w:pStyle w:val="FirstParagraph"/>
      </w:pPr>
      <w:r>
        <w:rPr>
          <w:b/>
          <w:bCs/>
        </w:rPr>
        <w:t xml:space="preserve">Чем это не является</w:t>
      </w:r>
    </w:p>
    <w:p>
      <w:pPr>
        <w:pStyle w:val="BodyText"/>
      </w:pPr>
      <w:r>
        <w:t xml:space="preserve">UEI — это не подготовка к Nexit. Это не антиевропейская организация. Это не картель компаний, желающий пересмотреть правила в сторону их более мягкого исполнения. Это защитник суверенитета — институциональный, юридический и публицистический.</w:t>
      </w:r>
    </w:p>
    <w:p>
      <w:pPr>
        <w:pStyle w:val="BodyText"/>
      </w:pPr>
      <w:r>
        <w:t xml:space="preserve">Параллель со швейцарским Международным комитетом Красного Креста проведена сознательно. Этот институт не является правительством, но признается всеми правительствами, потому что выполняет функцию, которую ни одно правительство не может взять на себя в одиночку. UEI выполняла бы ту же роль для бизнеса — не заменяя правительства, а обеспечивая институциональную консервативную силу там, где ни одно государство-член само по себе не обладает достаточным весом.</w:t>
      </w:r>
    </w:p>
    <w:p>
      <w:pPr>
        <w:pStyle w:val="BodyText"/>
      </w:pPr>
      <w:r>
        <w:rPr>
          <w:b/>
          <w:bCs/>
        </w:rPr>
        <w:t xml:space="preserve">Вопрос для Нидерландов</w:t>
      </w:r>
    </w:p>
    <w:p>
      <w:pPr>
        <w:pStyle w:val="BodyText"/>
      </w:pPr>
      <w:r>
        <w:t xml:space="preserve">Для Нидерландов UEI является внешним союзником для позиции Б из нулевого выпуска. Нидерланды навязывают Брюсселю собственную классификацию порядков; UEI делает то же самое от имени компаний. Два параллельных канала, один и тот же метод. Брюсселю в такой констелляции гораздо труднее реагировать избирательно карательными мерами, поскольку сочетание государства-члена и институционального голоса бизнеса имеет слишком большой экономический и политический вес.</w:t>
      </w:r>
    </w:p>
    <w:p>
      <w:pPr>
        <w:pStyle w:val="BodyText"/>
      </w:pPr>
      <w:r>
        <w:t xml:space="preserve">Анализ Парето из этой серии статей делает этот шаг не только желательным, но и логичным. Тот, кто видит расстановку сил в ее истинном свете, понимает, что инерция внутри страны сосредоточена в профсоюзах (Bondsraad), а за ее пределами — в Брюсселе. Оба блока могут быть демонтированы только путем одновременных действий внутри и за пределами Нидерландов. Национальное соглашение с работодателями против профсоюзов и европейский институт с работодателями против Брюсселя. Одни и те же партнеры за обоими столами.</w:t>
      </w:r>
    </w:p>
    <w:p>
      <w:pPr>
        <w:pStyle w:val="BodyText"/>
      </w:pPr>
      <w:r>
        <w:t xml:space="preserve">Это не совпадение. Это проект.</w:t>
      </w:r>
    </w:p>
    <w:p>
      <w:pPr>
        <w:pStyle w:val="BodyText"/>
      </w:pPr>
      <w:r>
        <w:t xml:space="preserve">Het Open Vizier · novademocratia.com · Рабочие материалы · Jacobus van Merksteijn · Июнь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2026-06-03T18:37:29Z</dcterms:created>
  <dcterms:modified xsi:type="dcterms:W3CDTF">2026-06-03T18:37:29Z</dcterms:modified>
</cp:coreProperties>
</file>

<file path=docProps/custom.xml><?xml version="1.0" encoding="utf-8"?>
<Properties xmlns="http://schemas.openxmlformats.org/officeDocument/2006/custom-properties" xmlns:vt="http://schemas.openxmlformats.org/officeDocument/2006/docPropsVTypes"/>
</file>