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слой-знаний-как-союзник"/>
    <w:p>
      <w:pPr>
        <w:pStyle w:val="Heading2"/>
      </w:pPr>
      <w:r>
        <w:t xml:space="preserve">11 — Слой знаний как союзник</w:t>
      </w:r>
    </w:p>
    <w:p>
      <w:pPr>
        <w:pStyle w:val="FirstParagraph"/>
      </w:pPr>
      <w:r>
        <w:rPr>
          <w:i/>
          <w:iCs/>
        </w:rPr>
        <w:t xml:space="preserve">Университеты, бюро планирования, консультативные советы и исследовательские институты являются слепым пятном на тепловой карте. Тот, кто примет их во внимание, увидит, что самая мощная методическая противодействующая сила нидерландскому компромиссному правлению исходит не из политики, а из институтов, которые уже пятнадцать лет измеряют продуктивность правительства — и никто их не слушает.</w:t>
      </w:r>
    </w:p>
    <w:p>
      <w:pPr>
        <w:pStyle w:val="BodyText"/>
      </w:pPr>
      <w:r>
        <w:t xml:space="preserve">В девятом выпуске было представлено нидерландское силовое поле, включающее в себя двадцать шесть акторов: пятнадцать фракций Палаты представителей, шесть союзов, пять объединений работодателей. Тот, кто внимательно изучит тепловую карту, заметит один поразительный пробел. Вся инфраструктура знаний — университеты, бюро планирования, консультативные советы и институты прикладных исследований — в ней отсутствует. Это не недосмотр; это ошибка проектирования в первоначальном отборе. Этот выпуск восполняет данный пробел.</w:t>
      </w:r>
    </w:p>
    <w:p>
      <w:pPr>
        <w:pStyle w:val="BodyText"/>
      </w:pPr>
      <w:r>
        <w:t xml:space="preserve">Интеллектуальный слой в Нидерландах насчитывает девять значимых акторов. Четыре представительных учреждения — UNL (Universiteiten van Nederland) для четырнадцати университетов, KNAW как зонтичная организация для наук, NWO как распределитель почти одного миллиарда евро в год на исследовательские гранты и Vereniging Hogescholen для прикладного высшего образования. Три бюро планирования — CPB, PBL и SCP — каждое из которых в своей области измеряет результаты государственной политики. Два стратегических консультативных совета — WRR и Raad van State — которые консультируют правительство по юридическим и стратегическим вопросам самой конструкции власти. И институт прикладных наук TNO, который, будучи крупнейшим из пяти институтов TO2, разрабатывает инновации и повышает продуктивность как для государственного, так и для частного секторов.</w:t>
      </w:r>
    </w:p>
    <w:p>
      <w:pPr>
        <w:pStyle w:val="BodyText"/>
      </w:pPr>
      <w:r>
        <w:rPr>
          <w:b/>
          <w:bCs/>
        </w:rPr>
        <w:t xml:space="preserve">Что каждый из них уже делает</w:t>
      </w:r>
    </w:p>
    <w:p>
      <w:pPr>
        <w:pStyle w:val="BodyText"/>
      </w:pPr>
      <w:r>
        <w:t xml:space="preserve">Краткое положение дел по каждому блоку на основе публичного поведения в две тысячи двадцать четвертом – две тысячи двадцать пятом годах — не то, что они заявляют, а то, что они на самом деле публикуют.</w:t>
      </w:r>
    </w:p>
    <w:p>
      <w:pPr>
        <w:pStyle w:val="BodyText"/>
      </w:pPr>
      <w:r>
        <w:t xml:space="preserve">Centraal Planbureau опубликовало в две тысячи семнадцатом году по запросу Министерства внутренних дел записку о развитии продуктивности нидерландского правительства и оценило её в диапазоне от нуля до семи десятых процента в год. В две тысячи двадцать третьем году CPB и IPSE совместно пришли к выводу, что продуктивность государственных исполнительных организаций в период с две тысячи пятнадцатого по две тысячи двадцать первый год снизилась на девять процентов — в то время как использование рабочих мест на полную ставку выросло на двенадцать процентов. Это фактический фундамент под Nova Democratia, который уже готов; не хватает лишь политической воли, чтобы перевести его в плоскость конкретных мер. Таким образом, CPB набирает минус двадцать пять по второй фазе (Balkenende-norm и KPI-bestuur) — это сильный союзник.</w:t>
      </w:r>
    </w:p>
    <w:p>
      <w:pPr>
        <w:pStyle w:val="BodyText"/>
      </w:pPr>
      <w:r>
        <w:t xml:space="preserve">Planbureau voor de Leefomgeving и Sociaal en Cultureel Planbureau действуют с сопоставимой дисциплиной. PBL измеряет пространственные и экологические результаты политики с помощью методики, не подлежащей обсуждению. SCP измеряет социальное благополучие таким способом, который ни одна партия не может подстроить под себя. Оба ведомства предоставляют методически именно то, что строит Nova Democratia: сначала измерение, затем политика. Их средняя позиция по второй фазе составляет минус пятнадцать, по первой фазе (дашборд) — минус восемь. Они слабее, чем CPB, поскольку их области охвата меньше, но направление то же.</w:t>
      </w:r>
    </w:p>
    <w:p>
      <w:pPr>
        <w:pStyle w:val="BodyText"/>
      </w:pPr>
      <w:r>
        <w:t xml:space="preserve">WRR опубликовал в июле две тысячи двадцать пятого года отчет</w:t>
      </w:r>
      <w:r>
        <w:t xml:space="preserve"> </w:t>
      </w:r>
      <w:r>
        <w:rPr>
          <w:i/>
          <w:iCs/>
        </w:rPr>
        <w:t xml:space="preserve">Sterke overheid investeert in eigen deskundigheid</w:t>
      </w:r>
      <w:r>
        <w:t xml:space="preserve"> </w:t>
      </w:r>
      <w:r>
        <w:t xml:space="preserve">(«Сильное правительство инвестирует в собственную компетентность»). Рекомендации читаются так, будто они были напрямую заимствованы из Transitiehandleiding: укрепление стратегического мышления через внутренних стратегов, преодоление укоренившейся ведомственной разобщенности с помощью мультидисциплинарных подразделений, установление более решительного лидерства через введение постоянного Commissaris voor de Rijksdienst. Это меры первой и третьей фаз во всём, кроме названия. WRR набирает минус двадцать по третьей фазе и минус двенадцать по первой фазе — это естественный методический союзник, который уже владеет необходимым словарем.</w:t>
      </w:r>
    </w:p>
    <w:p>
      <w:pPr>
        <w:pStyle w:val="BodyText"/>
      </w:pPr>
      <w:r>
        <w:t xml:space="preserve">Raad van State — случай особый. Как институционально независимый консультативный орган по законодательству и конституции, он оценивает каждый законопроект на предмет законности, исполнимости, эффективности, пропорциональности и качества законодательства. Подавляющее большинство — девяносто три процента — получают положительное заключение. Для Nova Democratia это палка о двух концах. На фазе ноль (изменения конституции) Совет будет строго проверять текст на конституционную устойчивость — это гарантия, а не блокировка. На четвертой фазе (sunsetwetten) Совет проявляет осторожность, поскольку временное законодательство затрагивает его ключевую заботу о правовой определенности и исполнимости. Итог: минус шесть на фазе ноль (технический союзник), плюс четыре на четвертой фазе (сдержанность), чистый результат — минус два. Не самый сильный союзник, но и не звено, создающее инерцию.</w:t>
      </w:r>
    </w:p>
    <w:p>
      <w:pPr>
        <w:pStyle w:val="BodyText"/>
      </w:pPr>
      <w:r>
        <w:t xml:space="preserve">TNO является наиболее явным сторонником Nova Democratia среди интеллектуального слоя. Стратегический план TNO на две тысячи двадцать шестой – две тысячи двадцать девятый годы ставит производительность труда в центр внимания как ключевую национальную тему, призывает к существенному повышению продуктивности в сфере здравоохранения через технологические инновации и выстраивает программы вокруг KPI-bestuur, внедрения ИИ и реформы государственного сектора. Компании, которые финансово сотрудничают с TNO, в шесть–девять раз продуктивнее, чем в среднем по отрасли. TNO набирает в общей сложности минус двадцать пять — что сопоставимо с UEI, и без необходимости создания новой структуры.</w:t>
      </w:r>
    </w:p>
    <w:p>
      <w:pPr>
        <w:pStyle w:val="BlockText"/>
      </w:pPr>
      <w:r>
        <w:rPr>
          <w:i/>
          <w:iCs/>
        </w:rPr>
        <w:t xml:space="preserve">CPB оценило продуктивность государственных исполнительных организаций в минус девять процентов за шесть лет, в то время как использование рабочих мест на полную ставку увеличилось на двенадцать процентов. Это фактический фундамент под Nova Democratia, который уже готов; не хватает лишь политической воли, чтобы перевести его в плоскость конкретных мер.</w:t>
      </w:r>
    </w:p>
    <w:p>
      <w:pPr>
        <w:pStyle w:val="FirstParagraph"/>
      </w:pPr>
      <w:r>
        <w:rPr>
          <w:b/>
          <w:bCs/>
        </w:rPr>
        <w:t xml:space="preserve">Кто противодействует</w:t>
      </w:r>
    </w:p>
    <w:p>
      <w:pPr>
        <w:pStyle w:val="BodyText"/>
      </w:pPr>
      <w:r>
        <w:t xml:space="preserve">Universiteiten van Nederland (UNL) находятся на другой стороне силового поля. Сопротивление сокращению расходов на высшее образование и науку — полмиллиарда евро на структурной основе — велось в две тысячи двадцать четвертом – две тысячи двадцать пятом годах как экзистенциальная борьба. Никаких призывов к методическому совершенствованию, никаких предложений по независимой оценке эффективности, никакого признания цифр CPB о продуктивности государственного сектора. Позиция UNL заключается в том, что университеты сами определяют, что является хорошим исследованием и сколько оно может стоить. По пятой фазе (образование по результатам) UNL набирает плюс девять — это высокий балл сопротивления, сопоставимый с профсоюзами работников образования.</w:t>
      </w:r>
    </w:p>
    <w:p>
      <w:pPr>
        <w:pStyle w:val="BodyText"/>
      </w:pPr>
      <w:r>
        <w:t xml:space="preserve">KNAW занимает обособленную позицию. Доклад</w:t>
      </w:r>
      <w:r>
        <w:t xml:space="preserve"> </w:t>
      </w:r>
      <w:r>
        <w:rPr>
          <w:i/>
          <w:iCs/>
        </w:rPr>
        <w:t xml:space="preserve">Dutch scientists less and less free</w:t>
      </w:r>
      <w:r>
        <w:t xml:space="preserve"> </w:t>
      </w:r>
      <w:r>
        <w:t xml:space="preserve">от мая две тысячи двадцать пятого года демонстрирует принципиальную защиту академической свободы от любых форм внешнего измерения. Для Nova Democratia это сложная позиция: академическая свобода сама по себе является ценностью второго порядка, заслуживающей уважения, но KNAW иногда использует её как аргумент против любой формы общественной подотчетности, даже там, где она была бы уместна. Итог: плюс пять по пятой фазе, нейтрально в остальном.</w:t>
      </w:r>
    </w:p>
    <w:p>
      <w:pPr>
        <w:pStyle w:val="BodyText"/>
      </w:pPr>
      <w:r>
        <w:t xml:space="preserve">NWO занимает двойственную позицию. Как распределитель почти одного миллиарда евро в год на исследования, NWO работает по двум параллельным направлениям: «Открытый конкурс» для свободных исследований (где ученые сами выбирают тему) и «Национальная научная повестка» вместе с «Соглашением о знаниях и инновациях» (где критерием является общественное влияние). Для Nova Democratia второе направление является естественным плацдармом: измерение влияния, распределение, ориентированное на результат. Первое же направление представляет собой структурное сопротивление любому внешнему управлению. Чистый итог: минус два — умеренный союзник.</w:t>
      </w:r>
    </w:p>
    <w:p>
      <w:pPr>
        <w:pStyle w:val="BodyText"/>
      </w:pPr>
      <w:r>
        <w:t xml:space="preserve">Vereniging Hogescholen стоит ближе к UNL, чем к TNO. Сопротивление финансированию по результатам, принципиальная приверженность модели распределения на основе количества студентов, отсутствие призывов к независимой оценке результатов. Итог: плюс семь.</w:t>
      </w:r>
    </w:p>
    <w:p>
      <w:pPr>
        <w:pStyle w:val="BodyText"/>
      </w:pPr>
      <w:r>
        <w:rPr>
          <w:b/>
          <w:bCs/>
        </w:rPr>
        <w:t xml:space="preserve">Что это значит для Nova Democratia</w:t>
      </w:r>
    </w:p>
    <w:p>
      <w:pPr>
        <w:pStyle w:val="BodyText"/>
      </w:pPr>
      <w:r>
        <w:t xml:space="preserve">Если суммировать показатели девяти интеллектуальных акторов, мы увидим чистый итог в минус восемьдесят шесть баллов. Это весомее, чем VNO-NCW (минус двадцать четыре), MKB-Nederland (минус двадцать три) и UEI вместе взятые (минус двадцать пять). Существует блок методической противодействующей силы, который по отдельности менее заметен, чем профсоюзы, но в совокупности превосходит их. Разница заключается в характере их власти. Профсоюзы обладают политическими и электоральными рычагами через голосование своих членов. Интеллектуальный слой обладает методическими и публицистическими рычагами через измерения и публикации. Они действуют медленнее, но глубже. Политическую партию можно лишить власти на выборах; цифра CPB о снижении продуктивности останется в «Макроэкономическом прогнозе» и девять лет спустя.</w:t>
      </w:r>
    </w:p>
    <w:p>
      <w:pPr>
        <w:pStyle w:val="BodyText"/>
      </w:pPr>
      <w:r>
        <w:t xml:space="preserve">Для Nova Democratia отсюда следует операционный вывод. Реестр возражений из четвертого выпуска может быть создан в сотрудничестве с CPB, PBL, SCP и WRR — не как с консультативными органами, а как с партнерами-публикаторами. Каждый месяц — как минимум одно проанализированное возражение с методической проверкой одним из четырех институтов, в открытом доступе. Это выводит дискуссию из политической плоскости и переводит её в методическую. Для автора возражения это невыгодно — аргумент, который методически несостоятелен, публично терпит крах. Для Nova Democratia это и есть цель проектирования.</w:t>
      </w:r>
    </w:p>
    <w:p>
      <w:pPr>
        <w:pStyle w:val="BodyText"/>
      </w:pPr>
      <w:r>
        <w:t xml:space="preserve">Университеты в этой схеме оказываются по другую сторону стола. Это не та проблема, которую нужно решать путем переговоров; это данность, которая должна сохраняться при уважении к академической свободе. Те, кто защищает науку как таковую, не должны быть отстранены голосованием. Но те, кто использует академическую свободу для отказа от общественной подотчетности в тех сферах, где она необходима — например, при измерении результатов исследований, финансируемых из государственного бюджета — будут постепенно терять вес в общественных дебатах из-за методического противовеса бюро планирования. В этом и заключается замысел: без борьбы, через методическую очевидность.</w:t>
      </w:r>
    </w:p>
    <w:p>
      <w:pPr>
        <w:pStyle w:val="BodyText"/>
      </w:pPr>
      <w:r>
        <w:t xml:space="preserve">Стратегический план TNO на две тысячи двадцать шестой – две тысячи двадцать девятый годы в этом свете является самым интересным документом интеллектуального слоя. Он содержит в точности тот же словарь, что и Nova Democratia, исходя от института, не имеющего политических связей и не служащего секторальным интересам. Тот, кто привлечет TNO в качестве операционного партнера для реестра возражений, автоматически получит программу прикладных исследований по продуктивности государственного сектора. Это не совпадение: TNO уже строит то, что необходимо Nova Democratia.</w:t>
      </w:r>
    </w:p>
    <w:p>
      <w:pPr>
        <w:pStyle w:val="BodyText"/>
      </w:pPr>
      <w:r>
        <w:rPr>
          <w:b/>
          <w:bCs/>
        </w:rPr>
        <w:t xml:space="preserve">Измененная диаграмма Парето и тепловая карта</w:t>
      </w:r>
    </w:p>
    <w:p>
      <w:pPr>
        <w:pStyle w:val="BodyText"/>
      </w:pPr>
      <w:r>
        <w:t xml:space="preserve">В обновленном рейтинге Парето по тормозящему весу (второй выпуск) появляются две новые группы: университеты (UNL и VH вместе, общий балл шестьсот девяносто пять) и бюро планирования вместе с консультативными советами (общий балл минус четыреста десять — то есть отрицательный, так как они поддерживают Nova Democratia). Топ-двенадцать формально превращается в топ-четырнадцать. Университеты занимают одиннадцатое место — существенно ниже акторов первого порядка, таких как профсоюзы работников образования или право ЕС, но всё же значимо. Бюро планирования фигурируют не как тормозящий вес, а как сохраняющая сила; в отдельном рейтинге они заняли бы третье место справа среди союзников, уступая лишь UEI и VNO-NCW.</w:t>
      </w:r>
    </w:p>
    <w:p>
      <w:pPr>
        <w:pStyle w:val="BodyText"/>
      </w:pPr>
      <w:r>
        <w:t xml:space="preserve">В обновленной тепловой карте для девятого выпуска внизу появляется новый блок между компаниями и UEI: KENNISLAAG. Девять акторов, каждый из которых оценен по шести фазам плюс общий итог. Цвет блока преимущественно зеленый — сильнее, чем у блока компаний — с двумя красными всплесками (UNL, VH) на пятой фазе. Этот узор рассказывает всю историю с первого взгляда: нидерландский интеллектуальный слой в чистом остатке является методическим союзником Nova Democratia, с узнаваемым блоком сопротивления вокруг академической свободы.</w:t>
      </w:r>
    </w:p>
    <w:p>
      <w:pPr>
        <w:pStyle w:val="BodyText"/>
      </w:pPr>
      <w:r>
        <w:rPr>
          <w:b/>
          <w:bCs/>
        </w:rPr>
        <w:t xml:space="preserve">Три шага, которые могут быть предприняты</w:t>
      </w:r>
    </w:p>
    <w:p>
      <w:pPr>
        <w:pStyle w:val="BodyText"/>
      </w:pPr>
      <w:r>
        <w:t xml:space="preserve">Для тех, кто хочет превратить операционные выводы этого анализа в действия, три шага выполнимы незамедлительно, без каких-либо политических сдвигов.</w:t>
      </w:r>
    </w:p>
    <w:p>
      <w:pPr>
        <w:pStyle w:val="BodyText"/>
      </w:pPr>
      <w:r>
        <w:t xml:space="preserve">Во-первых: запросите у CPB обновление данных по измерению продуктивности государственного сектора за период две тысячи пятнадцатого – две тысячи двадцать пятого годов. CPB работает по запросу министерств, но также и членов парламента, и общественных институтов. Один депутат из одной из шести фракций с низким уровнем сопротивления, выявленных в девятом выпуске (NSC, BBB, PVV, D66, FVD, JA21), может подать такой запрос. Методика уже существует с две тысячи семнадцатого года; обновление потребует от четырех до шести месяцев исследований.</w:t>
      </w:r>
    </w:p>
    <w:p>
      <w:pPr>
        <w:pStyle w:val="BodyText"/>
      </w:pPr>
      <w:r>
        <w:t xml:space="preserve">Во-вторых: запросите у WRR последующий отчет по докладу</w:t>
      </w:r>
      <w:r>
        <w:t xml:space="preserve"> </w:t>
      </w:r>
      <w:r>
        <w:rPr>
          <w:i/>
          <w:iCs/>
        </w:rPr>
        <w:t xml:space="preserve">Sterke overheid investeert in eigen deskundigheid</w:t>
      </w:r>
      <w:r>
        <w:t xml:space="preserve">. Конкретно: как выглядит поэтапное внедрение Commissaris voor de Rijksdienst в нидерландском конституционном контексте и какие изменения в законодательстве для этого минимально необходимы. WRR работает по собственной повестке, но реагирует на запросы парламента и кабинета министров. Снова достаточно одного депутата.</w:t>
      </w:r>
    </w:p>
    <w:p>
      <w:pPr>
        <w:pStyle w:val="BodyText"/>
      </w:pPr>
      <w:r>
        <w:t xml:space="preserve">В-третьих: запросите у TNO план внедрения KPI-bestuur в двух нидерландских исполнительных организациях, выбранных из базы данных статьи в ESB от апреля две тысячи двадцать третьего года, в которой анализировалось снижение продуктивности в различных организациях. Одну большую и одну маленькую, одну быстрорастущую и одну сокращающуюся. План может быть готов в течение двенадцати месяцев. После этого появится проект, который можно масштабировать на все остальные исполнительные органы государства.</w:t>
      </w:r>
    </w:p>
    <w:p>
      <w:pPr>
        <w:pStyle w:val="BodyText"/>
      </w:pPr>
      <w:r>
        <w:t xml:space="preserve">Три шага, три заявки, один депутат. Никаких изменений в законах, никаких демонстраций, никаких партий. Но: через двенадцать месяцев под Nova Democratia будет заложен фактический фундамент, который ни одна политическая партия больше не сможет игнорировать.</w:t>
      </w:r>
    </w:p>
    <w:p>
      <w:pPr>
        <w:pStyle w:val="BlockText"/>
      </w:pPr>
      <w:r>
        <w:rPr>
          <w:i/>
          <w:iCs/>
        </w:rPr>
        <w:t xml:space="preserve">Три шага, три заявки, один депутат. Через двенадцать месяцев под Nova Democratia будет заложен фактический фундамент, который ни одна политическая партия больше не сможет игнорировать.</w:t>
      </w:r>
    </w:p>
    <w:p>
      <w:pPr>
        <w:pStyle w:val="FirstParagraph"/>
      </w:pPr>
      <w:r>
        <w:rPr>
          <w:b/>
          <w:bCs/>
        </w:rPr>
        <w:t xml:space="preserve">Что это говорит о первоначальной тепловой карте</w:t>
      </w:r>
    </w:p>
    <w:p>
      <w:pPr>
        <w:pStyle w:val="BodyText"/>
      </w:pPr>
      <w:r>
        <w:t xml:space="preserve">Отсутствие интеллектуального слоя в девятом выпуске не было случайностью; оно было отражением более широкой нидерландской дискуссии. В общепринятом политическом анализе университеты, бюро планирования и консультативные советы не считаются самостоятельными акторами — они рассматриваются как техническая поддержка того, что решает политика. Это именно та инверсия, которую пытается исправить Nova Democratia. Тот, кто измеряет, не должен стоять под теми, кто решает; тот, кто измеряет, должен стоять рядом с ними, обладая собственным голосом, который невозможно заглушить голосованием.</w:t>
      </w:r>
    </w:p>
    <w:p>
      <w:pPr>
        <w:pStyle w:val="BodyText"/>
      </w:pPr>
      <w:r>
        <w:t xml:space="preserve">Анализ Парето, исключивший интеллектуальный слой, сам по себе был ошибкой первого порядка: инструменты измерения не были включены в измерение противодействующей силы. В этом выпуске ошибка исправлена. Не только ради полноты тепловой карты, но и потому, что методическая противодействующая сила CPB, WRR и TNO — будучи задействованной операционно — способна демонтировать самые тяжелые политические блокировки быстрее и надежнее, чем любая кампания или партия.</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2026-06-03T18:37:29Z</dcterms:created>
  <dcterms:modified xsi:type="dcterms:W3CDTF">2026-06-03T18:37:29Z</dcterms:modified>
</cp:coreProperties>
</file>

<file path=docProps/custom.xml><?xml version="1.0" encoding="utf-8"?>
<Properties xmlns="http://schemas.openxmlformats.org/officeDocument/2006/custom-properties" xmlns:vt="http://schemas.openxmlformats.org/officeDocument/2006/docPropsVTypes"/>
</file>